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91067" w14:textId="53B549CE" w:rsidR="00252126" w:rsidRPr="000F0835" w:rsidRDefault="00252126" w:rsidP="00004A35">
      <w:pPr>
        <w:widowControl w:val="0"/>
        <w:spacing w:after="60" w:line="276" w:lineRule="auto"/>
        <w:jc w:val="center"/>
        <w:rPr>
          <w:rFonts w:ascii="Arial" w:hAnsi="Arial" w:cs="Arial"/>
          <w:b/>
          <w:bCs/>
          <w:sz w:val="24"/>
          <w:szCs w:val="24"/>
          <w:lang w:val="az-Latn-AZ"/>
        </w:rPr>
      </w:pPr>
      <w:r w:rsidRPr="000F0835">
        <w:rPr>
          <w:rFonts w:ascii="Arial" w:hAnsi="Arial" w:cs="Arial"/>
          <w:b/>
          <w:bCs/>
          <w:sz w:val="24"/>
          <w:szCs w:val="24"/>
          <w:lang w:val="az-Latn-AZ"/>
        </w:rPr>
        <w:t>PRESS-RELİZ</w:t>
      </w:r>
    </w:p>
    <w:p w14:paraId="66728DC2" w14:textId="77777777" w:rsidR="002C1D4D" w:rsidRPr="000F0835" w:rsidRDefault="002C1D4D" w:rsidP="00004A35">
      <w:pPr>
        <w:widowControl w:val="0"/>
        <w:spacing w:after="60" w:line="276" w:lineRule="auto"/>
        <w:jc w:val="center"/>
        <w:rPr>
          <w:rFonts w:ascii="Arial" w:hAnsi="Arial" w:cs="Arial"/>
          <w:b/>
          <w:bCs/>
          <w:sz w:val="24"/>
          <w:szCs w:val="24"/>
          <w:lang w:val="az-Latn-AZ"/>
        </w:rPr>
      </w:pPr>
    </w:p>
    <w:p w14:paraId="5B379182" w14:textId="24D6FB47" w:rsidR="00CE29B3" w:rsidRPr="000F0835" w:rsidRDefault="00676014" w:rsidP="00004A35">
      <w:pPr>
        <w:widowControl w:val="0"/>
        <w:spacing w:after="60" w:line="276" w:lineRule="auto"/>
        <w:jc w:val="center"/>
        <w:rPr>
          <w:rFonts w:ascii="Arial" w:hAnsi="Arial" w:cs="Arial"/>
          <w:b/>
          <w:bCs/>
          <w:sz w:val="24"/>
          <w:szCs w:val="24"/>
          <w:lang w:val="az-Latn-AZ"/>
        </w:rPr>
      </w:pPr>
      <w:r w:rsidRPr="000F0835">
        <w:rPr>
          <w:rFonts w:ascii="Arial" w:hAnsi="Arial" w:cs="Arial"/>
          <w:b/>
          <w:bCs/>
          <w:sz w:val="24"/>
          <w:szCs w:val="24"/>
          <w:lang w:val="az-Latn-AZ"/>
        </w:rPr>
        <w:t>Bir sıra k</w:t>
      </w:r>
      <w:r w:rsidR="00CA37CE" w:rsidRPr="000F0835">
        <w:rPr>
          <w:rFonts w:ascii="Arial" w:hAnsi="Arial" w:cs="Arial"/>
          <w:b/>
          <w:bCs/>
          <w:sz w:val="24"/>
          <w:szCs w:val="24"/>
          <w:lang w:val="az-Latn-AZ"/>
        </w:rPr>
        <w:t xml:space="preserve">ommunal xidmətlər </w:t>
      </w:r>
      <w:r w:rsidR="00CE29B3" w:rsidRPr="000F0835">
        <w:rPr>
          <w:rFonts w:ascii="Arial" w:hAnsi="Arial" w:cs="Arial"/>
          <w:b/>
          <w:bCs/>
          <w:sz w:val="24"/>
          <w:szCs w:val="24"/>
          <w:lang w:val="az-Latn-AZ"/>
        </w:rPr>
        <w:t xml:space="preserve">və dərman vasitələri üzrə qiymətlər müəyyənləşdirilib </w:t>
      </w:r>
    </w:p>
    <w:p w14:paraId="3A07F417" w14:textId="77777777" w:rsidR="00E524B0" w:rsidRPr="000F0835" w:rsidRDefault="00E524B0" w:rsidP="00004A35">
      <w:pPr>
        <w:pStyle w:val="NoSpacing"/>
        <w:widowControl w:val="0"/>
        <w:spacing w:after="60" w:line="276" w:lineRule="auto"/>
        <w:jc w:val="both"/>
        <w:rPr>
          <w:rFonts w:ascii="Arial" w:hAnsi="Arial" w:cs="Arial"/>
          <w:b/>
          <w:sz w:val="24"/>
          <w:szCs w:val="24"/>
          <w:lang w:val="az-Latn-AZ"/>
        </w:rPr>
      </w:pPr>
    </w:p>
    <w:p w14:paraId="72F84926" w14:textId="1AFDAD6A" w:rsidR="00E524B0" w:rsidRPr="000F0835" w:rsidRDefault="00AD0095" w:rsidP="00004A35">
      <w:pPr>
        <w:pStyle w:val="NoSpacing"/>
        <w:widowControl w:val="0"/>
        <w:spacing w:after="60" w:line="276" w:lineRule="auto"/>
        <w:jc w:val="both"/>
        <w:rPr>
          <w:rStyle w:val="Strong"/>
          <w:rFonts w:ascii="Arial" w:hAnsi="Arial" w:cs="Arial"/>
          <w:b w:val="0"/>
          <w:bCs w:val="0"/>
          <w:sz w:val="24"/>
          <w:szCs w:val="24"/>
          <w:lang w:val="az-Latn-AZ"/>
        </w:rPr>
      </w:pPr>
      <w:r w:rsidRPr="000F0835">
        <w:rPr>
          <w:rFonts w:ascii="Arial" w:hAnsi="Arial" w:cs="Arial"/>
          <w:sz w:val="24"/>
          <w:szCs w:val="24"/>
          <w:lang w:val="az-Latn-AZ"/>
        </w:rPr>
        <w:t xml:space="preserve">Azərbaycan Dövlət Su Ehtiyatları Agentliyi, “Azəristiliktəchizat” ASC, </w:t>
      </w:r>
      <w:r w:rsidR="00E524B0" w:rsidRPr="000F0835">
        <w:rPr>
          <w:rFonts w:ascii="Arial" w:hAnsi="Arial" w:cs="Arial"/>
          <w:sz w:val="24"/>
          <w:szCs w:val="24"/>
          <w:lang w:val="az-Latn-AZ"/>
        </w:rPr>
        <w:t>SOCAR, “Azenerji” ASC</w:t>
      </w:r>
      <w:r w:rsidRPr="000F0835">
        <w:rPr>
          <w:rFonts w:ascii="Arial" w:hAnsi="Arial" w:cs="Arial"/>
          <w:sz w:val="24"/>
          <w:szCs w:val="24"/>
          <w:lang w:val="az-Latn-AZ"/>
        </w:rPr>
        <w:t>-</w:t>
      </w:r>
      <w:r w:rsidR="00E524B0" w:rsidRPr="000F0835">
        <w:rPr>
          <w:rFonts w:ascii="Arial" w:hAnsi="Arial" w:cs="Arial"/>
          <w:sz w:val="24"/>
          <w:szCs w:val="24"/>
          <w:lang w:val="az-Latn-AZ"/>
        </w:rPr>
        <w:t>dən daxil olmuş müraciətlər əsasında Tarif (qiymət) Şurasının iclasında bir sıra kommunal xidmətlərin və dərman vasitələrinin qiyməti tənzimlənib.</w:t>
      </w:r>
    </w:p>
    <w:p w14:paraId="3549786E" w14:textId="77777777" w:rsidR="003B7BAA" w:rsidRPr="000F0835" w:rsidRDefault="003B7BAA" w:rsidP="00004A35">
      <w:pPr>
        <w:spacing w:line="276" w:lineRule="auto"/>
        <w:jc w:val="both"/>
        <w:rPr>
          <w:rStyle w:val="Strong"/>
          <w:rFonts w:ascii="Arial" w:hAnsi="Arial" w:cs="Arial"/>
          <w:sz w:val="24"/>
          <w:szCs w:val="24"/>
          <w:u w:val="single"/>
          <w:lang w:val="az-Latn-AZ"/>
        </w:rPr>
      </w:pPr>
    </w:p>
    <w:p w14:paraId="14075D52" w14:textId="0A9FF367" w:rsidR="00E524B0" w:rsidRPr="000F0835" w:rsidRDefault="00E524B0" w:rsidP="00004A35">
      <w:pPr>
        <w:spacing w:line="276" w:lineRule="auto"/>
        <w:jc w:val="both"/>
        <w:rPr>
          <w:rFonts w:ascii="Arial" w:hAnsi="Arial" w:cs="Arial"/>
          <w:b/>
          <w:bCs/>
          <w:sz w:val="24"/>
          <w:szCs w:val="24"/>
          <w:u w:val="single"/>
          <w:lang w:val="az-Latn-AZ"/>
        </w:rPr>
      </w:pPr>
      <w:r w:rsidRPr="000F0835">
        <w:rPr>
          <w:rStyle w:val="Strong"/>
          <w:rFonts w:ascii="Arial" w:hAnsi="Arial" w:cs="Arial"/>
          <w:sz w:val="24"/>
          <w:szCs w:val="24"/>
          <w:u w:val="single"/>
          <w:lang w:val="az-Latn-AZ"/>
        </w:rPr>
        <w:t>Su təchizatı və tullantı sularının axıdılması sisteminə qoşulma xidmətinə görə tariflər</w:t>
      </w:r>
      <w:r w:rsidR="005B41B5" w:rsidRPr="000F0835">
        <w:rPr>
          <w:rStyle w:val="Strong"/>
          <w:rFonts w:ascii="Arial" w:hAnsi="Arial" w:cs="Arial"/>
          <w:sz w:val="24"/>
          <w:szCs w:val="24"/>
          <w:u w:val="single"/>
          <w:lang w:val="az-Latn-AZ"/>
        </w:rPr>
        <w:t>:</w:t>
      </w:r>
    </w:p>
    <w:p w14:paraId="7993C882" w14:textId="53982FEC" w:rsidR="00E524B0" w:rsidRPr="00CD65BA" w:rsidRDefault="00E524B0" w:rsidP="00004A35">
      <w:pPr>
        <w:pStyle w:val="NoSpacing"/>
        <w:widowControl w:val="0"/>
        <w:spacing w:after="60" w:line="276" w:lineRule="auto"/>
        <w:jc w:val="both"/>
        <w:rPr>
          <w:rFonts w:ascii="Arial" w:hAnsi="Arial" w:cs="Arial"/>
          <w:sz w:val="24"/>
          <w:szCs w:val="24"/>
          <w:lang w:val="az-Latn-AZ"/>
        </w:rPr>
      </w:pPr>
      <w:r w:rsidRPr="00CD65BA">
        <w:rPr>
          <w:rFonts w:ascii="Arial" w:hAnsi="Arial" w:cs="Arial"/>
          <w:sz w:val="24"/>
          <w:szCs w:val="24"/>
          <w:lang w:val="az-Latn-AZ"/>
        </w:rPr>
        <w:t>Azərbaycan Dövlət Su Ehtiyatları Agentliyinin təklifi nəzərə alınaraq iclasda su təchizatı və tullantı sularının axıdılması sistemlərinə qoşulma xidməti</w:t>
      </w:r>
      <w:r w:rsidR="00FF08E8" w:rsidRPr="00CD65BA">
        <w:rPr>
          <w:rFonts w:ascii="Arial" w:hAnsi="Arial" w:cs="Arial"/>
          <w:sz w:val="24"/>
          <w:szCs w:val="24"/>
          <w:lang w:val="az-Latn-AZ"/>
        </w:rPr>
        <w:t>nə</w:t>
      </w:r>
      <w:r w:rsidRPr="00CD65BA">
        <w:rPr>
          <w:rFonts w:ascii="Arial" w:hAnsi="Arial" w:cs="Arial"/>
          <w:sz w:val="24"/>
          <w:szCs w:val="24"/>
          <w:lang w:val="az-Latn-AZ"/>
        </w:rPr>
        <w:t xml:space="preserve"> görə ilk dəfə olaraq</w:t>
      </w:r>
      <w:r w:rsidR="00A726E6" w:rsidRPr="00CD65BA">
        <w:rPr>
          <w:rFonts w:ascii="Arial" w:hAnsi="Arial" w:cs="Arial"/>
          <w:sz w:val="24"/>
          <w:szCs w:val="24"/>
          <w:lang w:val="az-Latn-AZ"/>
        </w:rPr>
        <w:t xml:space="preserve"> tariflər</w:t>
      </w:r>
      <w:r w:rsidRPr="00CD65BA">
        <w:rPr>
          <w:rFonts w:ascii="Arial" w:hAnsi="Arial" w:cs="Arial"/>
          <w:sz w:val="24"/>
          <w:szCs w:val="24"/>
          <w:lang w:val="az-Latn-AZ"/>
        </w:rPr>
        <w:t xml:space="preserve"> təsdiq edilib.</w:t>
      </w:r>
      <w:r w:rsidR="001B08A0" w:rsidRPr="00CD65BA">
        <w:rPr>
          <w:rFonts w:ascii="Arial" w:hAnsi="Arial" w:cs="Arial"/>
          <w:sz w:val="24"/>
          <w:szCs w:val="24"/>
          <w:lang w:val="az-Latn-AZ"/>
        </w:rPr>
        <w:t xml:space="preserve"> </w:t>
      </w:r>
      <w:r w:rsidR="00871C86" w:rsidRPr="00CD65BA">
        <w:rPr>
          <w:rFonts w:ascii="Arial" w:hAnsi="Arial" w:cs="Arial"/>
          <w:sz w:val="24"/>
          <w:szCs w:val="24"/>
          <w:lang w:val="az-Latn-AZ"/>
        </w:rPr>
        <w:t>İ</w:t>
      </w:r>
      <w:r w:rsidR="00FF08E8" w:rsidRPr="00CD65BA">
        <w:rPr>
          <w:rFonts w:ascii="Arial" w:hAnsi="Arial" w:cs="Arial"/>
          <w:sz w:val="24"/>
          <w:szCs w:val="24"/>
          <w:lang w:val="az-Latn-AZ"/>
        </w:rPr>
        <w:t xml:space="preserve">ndiyədək </w:t>
      </w:r>
      <w:r w:rsidR="001B08A0" w:rsidRPr="00CD65BA">
        <w:rPr>
          <w:rFonts w:ascii="Arial" w:hAnsi="Arial" w:cs="Arial"/>
          <w:sz w:val="24"/>
          <w:szCs w:val="24"/>
          <w:lang w:val="az-Latn-AZ"/>
        </w:rPr>
        <w:t xml:space="preserve">bu sahədə işlər dövlət tənzimlənməsi olmadan pərakəndə şəkildə fərqli </w:t>
      </w:r>
      <w:r w:rsidR="006D2153" w:rsidRPr="00CD65BA">
        <w:rPr>
          <w:rFonts w:ascii="Arial" w:hAnsi="Arial" w:cs="Arial"/>
          <w:sz w:val="24"/>
          <w:szCs w:val="24"/>
          <w:lang w:val="az-Latn-AZ"/>
        </w:rPr>
        <w:t>məbləğlərlə</w:t>
      </w:r>
      <w:r w:rsidR="001B08A0" w:rsidRPr="00CD65BA">
        <w:rPr>
          <w:rFonts w:ascii="Arial" w:hAnsi="Arial" w:cs="Arial"/>
          <w:sz w:val="24"/>
          <w:szCs w:val="24"/>
          <w:lang w:val="az-Latn-AZ"/>
        </w:rPr>
        <w:t xml:space="preserve"> həyata keçirilirdi.</w:t>
      </w:r>
    </w:p>
    <w:p w14:paraId="35802C7F" w14:textId="18A6295A" w:rsidR="00E524B0" w:rsidRPr="000F0835" w:rsidRDefault="00AD0095"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 xml:space="preserve">Qeyd olunmalıdır ki, </w:t>
      </w:r>
      <w:r w:rsidR="00E524B0" w:rsidRPr="00CA2475">
        <w:rPr>
          <w:rFonts w:ascii="Arial" w:hAnsi="Arial" w:cs="Arial"/>
          <w:sz w:val="24"/>
          <w:szCs w:val="24"/>
          <w:lang w:val="az-Latn-AZ"/>
        </w:rPr>
        <w:t>su təchizatı və tullantı sularının axıdılması</w:t>
      </w:r>
      <w:r w:rsidR="00871C86" w:rsidRPr="00CA2475">
        <w:rPr>
          <w:rFonts w:ascii="Arial" w:hAnsi="Arial" w:cs="Arial"/>
          <w:sz w:val="24"/>
          <w:szCs w:val="24"/>
          <w:lang w:val="az-Latn-AZ"/>
        </w:rPr>
        <w:t xml:space="preserve"> üzrə </w:t>
      </w:r>
      <w:r w:rsidR="00871C86" w:rsidRPr="00F4565B">
        <w:rPr>
          <w:rFonts w:ascii="Arial" w:hAnsi="Arial" w:cs="Arial"/>
          <w:sz w:val="24"/>
          <w:szCs w:val="24"/>
          <w:lang w:val="az-Latn-AZ"/>
        </w:rPr>
        <w:t>təsdiq olunmuş tariflər</w:t>
      </w:r>
      <w:r w:rsidR="00CA2475" w:rsidRPr="00F4565B">
        <w:rPr>
          <w:rFonts w:ascii="Arial" w:hAnsi="Arial" w:cs="Arial"/>
          <w:sz w:val="24"/>
          <w:szCs w:val="24"/>
          <w:lang w:val="az-Latn-AZ"/>
        </w:rPr>
        <w:t>də</w:t>
      </w:r>
      <w:r w:rsidR="005A19FC" w:rsidRPr="00F4565B">
        <w:rPr>
          <w:rFonts w:ascii="Arial" w:hAnsi="Arial" w:cs="Arial"/>
          <w:sz w:val="24"/>
          <w:szCs w:val="24"/>
          <w:lang w:val="az-Latn-AZ"/>
        </w:rPr>
        <w:t xml:space="preserve"> </w:t>
      </w:r>
      <w:r w:rsidR="00613309" w:rsidRPr="00F4565B">
        <w:rPr>
          <w:rFonts w:ascii="Arial" w:hAnsi="Arial" w:cs="Arial"/>
          <w:sz w:val="24"/>
          <w:szCs w:val="24"/>
          <w:lang w:val="az-Latn-AZ"/>
        </w:rPr>
        <w:t xml:space="preserve">əhali </w:t>
      </w:r>
      <w:r w:rsidR="00E524B0" w:rsidRPr="00F4565B">
        <w:rPr>
          <w:rFonts w:ascii="Arial" w:hAnsi="Arial" w:cs="Arial"/>
          <w:sz w:val="24"/>
          <w:szCs w:val="24"/>
          <w:lang w:val="az-Latn-AZ"/>
        </w:rPr>
        <w:t xml:space="preserve">abonentləri üzrə qoşulma </w:t>
      </w:r>
      <w:r w:rsidR="00871C86" w:rsidRPr="00F4565B">
        <w:rPr>
          <w:rFonts w:ascii="Arial" w:hAnsi="Arial" w:cs="Arial"/>
          <w:sz w:val="24"/>
          <w:szCs w:val="24"/>
          <w:lang w:val="az-Latn-AZ"/>
        </w:rPr>
        <w:t xml:space="preserve">üçün </w:t>
      </w:r>
      <w:r w:rsidR="00E524B0" w:rsidRPr="00F4565B">
        <w:rPr>
          <w:rFonts w:ascii="Arial" w:hAnsi="Arial" w:cs="Arial"/>
          <w:sz w:val="24"/>
          <w:szCs w:val="24"/>
          <w:lang w:val="az-Latn-AZ"/>
        </w:rPr>
        <w:t xml:space="preserve">həm sosial xarakterli, həm də şəhər və regionlar üzrə </w:t>
      </w:r>
      <w:r w:rsidR="00E524B0" w:rsidRPr="000F0835">
        <w:rPr>
          <w:rFonts w:ascii="Arial" w:hAnsi="Arial" w:cs="Arial"/>
          <w:sz w:val="24"/>
          <w:szCs w:val="24"/>
          <w:lang w:val="az-Latn-AZ"/>
        </w:rPr>
        <w:t>diferensial yanaşma tətbiq olunub.</w:t>
      </w:r>
    </w:p>
    <w:p w14:paraId="008DD28F" w14:textId="693CBA48" w:rsidR="00D94024" w:rsidRPr="000F0835" w:rsidRDefault="00613309" w:rsidP="00004A35">
      <w:pPr>
        <w:pStyle w:val="NoSpacing"/>
        <w:widowControl w:val="0"/>
        <w:spacing w:after="60" w:line="276" w:lineRule="auto"/>
        <w:jc w:val="both"/>
        <w:rPr>
          <w:rFonts w:ascii="Arial" w:eastAsia="Times New Roman" w:hAnsi="Arial" w:cs="Arial"/>
          <w:sz w:val="24"/>
          <w:szCs w:val="24"/>
          <w:lang w:val="az-Latn-AZ"/>
        </w:rPr>
      </w:pPr>
      <w:r w:rsidRPr="000F0835">
        <w:rPr>
          <w:rFonts w:ascii="Arial" w:eastAsia="Times New Roman" w:hAnsi="Arial" w:cs="Arial"/>
          <w:sz w:val="24"/>
          <w:szCs w:val="24"/>
          <w:lang w:val="az-Latn-AZ"/>
        </w:rPr>
        <w:t xml:space="preserve">Əhali </w:t>
      </w:r>
      <w:r w:rsidR="00D94024" w:rsidRPr="000F0835">
        <w:rPr>
          <w:rFonts w:ascii="Arial" w:eastAsia="Times New Roman" w:hAnsi="Arial" w:cs="Arial"/>
          <w:sz w:val="24"/>
          <w:szCs w:val="24"/>
          <w:lang w:val="az-Latn-AZ"/>
        </w:rPr>
        <w:t xml:space="preserve">abonentləri üçün Bakı, Sumqayıt, Xırdalan şəhərləri, Abşeron rayonu üzrə </w:t>
      </w:r>
      <w:r w:rsidR="00D94024" w:rsidRPr="000F0835">
        <w:rPr>
          <w:rFonts w:ascii="Arial" w:eastAsia="Times New Roman" w:hAnsi="Arial" w:cs="Arial"/>
          <w:iCs/>
          <w:sz w:val="24"/>
          <w:szCs w:val="24"/>
          <w:lang w:val="az-Latn-AZ"/>
        </w:rPr>
        <w:t xml:space="preserve">su təchizatı şəbəkəsinə qoşulmanın birdəfəlik tarifi </w:t>
      </w:r>
      <w:r w:rsidR="00D94024" w:rsidRPr="000F0835">
        <w:rPr>
          <w:rFonts w:ascii="Arial" w:eastAsia="Times New Roman" w:hAnsi="Arial" w:cs="Arial"/>
          <w:sz w:val="24"/>
          <w:szCs w:val="24"/>
          <w:lang w:val="az-Latn-AZ"/>
        </w:rPr>
        <w:t xml:space="preserve">200 manat, digər inzibati ərazi vahidləri üzrə isə 170 manat müəyyən edilib. Tullantı sularının axıdılması şəbəkəsinə qoşulma üzrə tariflər Bakı, Sumqayıt, Xırdalan şəhərləri, Abşeron rayonu üzrə 345 manat, digər inzibati ərazi vahidləri üzrə isə 290 manat səviyyəsində təsdiq edilib. </w:t>
      </w:r>
    </w:p>
    <w:p w14:paraId="09F0BE99" w14:textId="778E0D30" w:rsidR="00D94024" w:rsidRPr="000F0835" w:rsidRDefault="00D94024" w:rsidP="00004A35">
      <w:pPr>
        <w:pStyle w:val="NoSpacing"/>
        <w:widowControl w:val="0"/>
        <w:spacing w:after="60" w:line="276" w:lineRule="auto"/>
        <w:jc w:val="both"/>
        <w:rPr>
          <w:rFonts w:ascii="Arial" w:hAnsi="Arial" w:cs="Arial"/>
          <w:sz w:val="24"/>
          <w:szCs w:val="24"/>
          <w:lang w:val="az-Latn-AZ"/>
        </w:rPr>
      </w:pPr>
      <w:r w:rsidRPr="000F0835">
        <w:rPr>
          <w:rFonts w:ascii="Arial" w:eastAsia="Times New Roman" w:hAnsi="Arial" w:cs="Arial"/>
          <w:sz w:val="24"/>
          <w:szCs w:val="24"/>
          <w:lang w:val="az-Latn-AZ"/>
        </w:rPr>
        <w:t xml:space="preserve">Sutka ərzində tələb olunan buraxılış həcmi 100 kubmetrə qədər olan tikinti obyektləri üçün </w:t>
      </w:r>
      <w:r w:rsidRPr="000F0835">
        <w:rPr>
          <w:rFonts w:ascii="Arial" w:eastAsia="Times New Roman" w:hAnsi="Arial" w:cs="Arial"/>
          <w:iCs/>
          <w:sz w:val="24"/>
          <w:szCs w:val="24"/>
          <w:lang w:val="az-Latn-AZ"/>
        </w:rPr>
        <w:t xml:space="preserve">su təchizatı şəbəkəsinə qoşulmanın birdəfəlik tarifi borunun diametrinden asılı olaraq 995 manat və ya 1015 manat, </w:t>
      </w:r>
      <w:r w:rsidRPr="000F0835">
        <w:rPr>
          <w:rFonts w:ascii="Arial" w:eastAsia="Times New Roman" w:hAnsi="Arial" w:cs="Arial"/>
          <w:sz w:val="24"/>
          <w:szCs w:val="24"/>
          <w:lang w:val="az-Latn-AZ"/>
        </w:rPr>
        <w:t>tullantı sularının axıdılması şəbəkəsinə qoşulmaya görə 1635 manat məbləğində müəyyən edilib.</w:t>
      </w:r>
    </w:p>
    <w:p w14:paraId="1137D4FD" w14:textId="1CB8EAB1" w:rsidR="00E524B0" w:rsidRPr="000F0835" w:rsidRDefault="00E524B0"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 xml:space="preserve">Qoşulma ilə əlaqədar tikinti obyektinin vəsaiti hesabına görüləcək işlər 30 metrədək məsafəni əhatə edir. </w:t>
      </w:r>
      <w:r w:rsidR="00D94024" w:rsidRPr="000F0835">
        <w:rPr>
          <w:rFonts w:ascii="Arial" w:hAnsi="Arial" w:cs="Arial"/>
          <w:sz w:val="24"/>
          <w:szCs w:val="24"/>
          <w:lang w:val="az-Latn-AZ"/>
        </w:rPr>
        <w:t>Bu</w:t>
      </w:r>
      <w:r w:rsidRPr="000F0835">
        <w:rPr>
          <w:rFonts w:ascii="Arial" w:hAnsi="Arial" w:cs="Arial"/>
          <w:sz w:val="24"/>
          <w:szCs w:val="24"/>
          <w:lang w:val="az-Latn-AZ"/>
        </w:rPr>
        <w:t xml:space="preserve"> məsafə 30 metrdən artıq oldu</w:t>
      </w:r>
      <w:r w:rsidR="00D94024" w:rsidRPr="000F0835">
        <w:rPr>
          <w:rFonts w:ascii="Arial" w:hAnsi="Arial" w:cs="Arial"/>
          <w:sz w:val="24"/>
          <w:szCs w:val="24"/>
          <w:lang w:val="az-Latn-AZ"/>
        </w:rPr>
        <w:t>qda</w:t>
      </w:r>
      <w:r w:rsidRPr="000F0835">
        <w:rPr>
          <w:rFonts w:ascii="Arial" w:hAnsi="Arial" w:cs="Arial"/>
          <w:sz w:val="24"/>
          <w:szCs w:val="24"/>
          <w:lang w:val="az-Latn-AZ"/>
        </w:rPr>
        <w:t xml:space="preserve"> isə mövcud şəbəkə təchizatçı tərəfindən genişləndirilir</w:t>
      </w:r>
      <w:r w:rsidR="001B08A0" w:rsidRPr="000F0835">
        <w:rPr>
          <w:rFonts w:ascii="Arial" w:hAnsi="Arial" w:cs="Arial"/>
          <w:sz w:val="24"/>
          <w:szCs w:val="24"/>
          <w:lang w:val="az-Latn-AZ"/>
        </w:rPr>
        <w:t xml:space="preserve"> və bunun üçün əlavə ödəniş tələb edilmir</w:t>
      </w:r>
      <w:r w:rsidRPr="000F0835">
        <w:rPr>
          <w:rFonts w:ascii="Arial" w:hAnsi="Arial" w:cs="Arial"/>
          <w:sz w:val="24"/>
          <w:szCs w:val="24"/>
          <w:lang w:val="az-Latn-AZ"/>
        </w:rPr>
        <w:t>.</w:t>
      </w:r>
    </w:p>
    <w:p w14:paraId="3F3FF784" w14:textId="22FAA59D" w:rsidR="00E524B0" w:rsidRPr="000F0835" w:rsidRDefault="00E524B0"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 xml:space="preserve">Bu sahədə tənzimləmə qoşulma ilə bağlı xərcləri azaldacaq, dayanıqlı və keyfiyyətli xidmət göstərilməsinə öz töhfəsini verəcək, maliyyə şəffaflığına və uçot sisteminin təkmilləşdirilməsinə </w:t>
      </w:r>
      <w:r w:rsidR="00871C86" w:rsidRPr="000F0835">
        <w:rPr>
          <w:rFonts w:ascii="Arial" w:hAnsi="Arial" w:cs="Arial"/>
          <w:sz w:val="24"/>
          <w:szCs w:val="24"/>
          <w:lang w:val="az-Latn-AZ"/>
        </w:rPr>
        <w:t>e</w:t>
      </w:r>
      <w:r w:rsidRPr="000F0835">
        <w:rPr>
          <w:rFonts w:ascii="Arial" w:hAnsi="Arial" w:cs="Arial"/>
          <w:sz w:val="24"/>
          <w:szCs w:val="24"/>
          <w:lang w:val="az-Latn-AZ"/>
        </w:rPr>
        <w:t xml:space="preserve">yni zamanda, </w:t>
      </w:r>
      <w:r w:rsidR="001B08A0" w:rsidRPr="000F0835">
        <w:rPr>
          <w:rFonts w:ascii="Arial" w:hAnsi="Arial" w:cs="Arial"/>
          <w:sz w:val="24"/>
          <w:szCs w:val="24"/>
          <w:lang w:val="az-Latn-AZ"/>
        </w:rPr>
        <w:t>pərakəndəli</w:t>
      </w:r>
      <w:r w:rsidR="00AD0095" w:rsidRPr="000F0835">
        <w:rPr>
          <w:rFonts w:ascii="Arial" w:hAnsi="Arial" w:cs="Arial"/>
          <w:sz w:val="24"/>
          <w:szCs w:val="24"/>
          <w:lang w:val="az-Latn-AZ"/>
        </w:rPr>
        <w:t>yin aradan qaldırılması ilə s</w:t>
      </w:r>
      <w:r w:rsidRPr="000F0835">
        <w:rPr>
          <w:rFonts w:ascii="Arial" w:hAnsi="Arial" w:cs="Arial"/>
          <w:sz w:val="24"/>
          <w:szCs w:val="24"/>
          <w:lang w:val="az-Latn-AZ"/>
        </w:rPr>
        <w:t>ahibkarlar tərəfindən investisiya qoyuluşu zamanı xərclərin əvvəlcədən hesablanması</w:t>
      </w:r>
      <w:r w:rsidR="00871C86" w:rsidRPr="000F0835">
        <w:rPr>
          <w:rFonts w:ascii="Arial" w:hAnsi="Arial" w:cs="Arial"/>
          <w:sz w:val="24"/>
          <w:szCs w:val="24"/>
          <w:lang w:val="az-Latn-AZ"/>
        </w:rPr>
        <w:t>na</w:t>
      </w:r>
      <w:r w:rsidRPr="000F0835">
        <w:rPr>
          <w:rFonts w:ascii="Arial" w:hAnsi="Arial" w:cs="Arial"/>
          <w:sz w:val="24"/>
          <w:szCs w:val="24"/>
          <w:lang w:val="az-Latn-AZ"/>
        </w:rPr>
        <w:t xml:space="preserve"> </w:t>
      </w:r>
      <w:r w:rsidR="00AD0095" w:rsidRPr="000F0835">
        <w:rPr>
          <w:rFonts w:ascii="Arial" w:hAnsi="Arial" w:cs="Arial"/>
          <w:sz w:val="24"/>
          <w:szCs w:val="24"/>
          <w:lang w:val="az-Latn-AZ"/>
        </w:rPr>
        <w:t>şərait yaradacaq</w:t>
      </w:r>
      <w:r w:rsidR="001B08A0" w:rsidRPr="000F0835">
        <w:rPr>
          <w:rFonts w:ascii="Arial" w:hAnsi="Arial" w:cs="Arial"/>
          <w:sz w:val="24"/>
          <w:szCs w:val="24"/>
          <w:lang w:val="az-Latn-AZ"/>
        </w:rPr>
        <w:t xml:space="preserve">. </w:t>
      </w:r>
    </w:p>
    <w:p w14:paraId="7ECBED82" w14:textId="77777777" w:rsidR="005B41B5" w:rsidRPr="000F0835" w:rsidRDefault="005B41B5" w:rsidP="00004A35">
      <w:pPr>
        <w:pStyle w:val="NoSpacing"/>
        <w:widowControl w:val="0"/>
        <w:spacing w:after="60" w:line="276" w:lineRule="auto"/>
        <w:jc w:val="both"/>
        <w:rPr>
          <w:rFonts w:ascii="Arial" w:hAnsi="Arial" w:cs="Arial"/>
          <w:b/>
          <w:bCs/>
          <w:sz w:val="2"/>
          <w:szCs w:val="2"/>
          <w:lang w:val="az-Latn-AZ"/>
        </w:rPr>
      </w:pPr>
    </w:p>
    <w:p w14:paraId="1C550003" w14:textId="49FAD786" w:rsidR="00EA22F3" w:rsidRPr="000F0835" w:rsidRDefault="00EA22F3" w:rsidP="00004A35">
      <w:pPr>
        <w:pStyle w:val="NoSpacing"/>
        <w:widowControl w:val="0"/>
        <w:spacing w:after="60" w:line="276" w:lineRule="auto"/>
        <w:jc w:val="both"/>
        <w:rPr>
          <w:rFonts w:ascii="Arial" w:hAnsi="Arial" w:cs="Arial"/>
          <w:b/>
          <w:bCs/>
          <w:sz w:val="24"/>
          <w:szCs w:val="24"/>
          <w:u w:val="single"/>
          <w:lang w:val="az-Latn-AZ"/>
        </w:rPr>
      </w:pPr>
      <w:r w:rsidRPr="000F0835">
        <w:rPr>
          <w:rFonts w:ascii="Arial" w:hAnsi="Arial" w:cs="Arial"/>
          <w:b/>
          <w:bCs/>
          <w:sz w:val="24"/>
          <w:szCs w:val="24"/>
          <w:u w:val="single"/>
          <w:lang w:val="az-Latn-AZ"/>
        </w:rPr>
        <w:t>Əhaliyə göstərilən istilik təchizatı xidmətinin tarifi</w:t>
      </w:r>
      <w:r w:rsidR="005B41B5" w:rsidRPr="000F0835">
        <w:rPr>
          <w:rFonts w:ascii="Arial" w:hAnsi="Arial" w:cs="Arial"/>
          <w:b/>
          <w:bCs/>
          <w:sz w:val="24"/>
          <w:szCs w:val="24"/>
          <w:u w:val="single"/>
          <w:lang w:val="az-Latn-AZ"/>
        </w:rPr>
        <w:t>:</w:t>
      </w:r>
    </w:p>
    <w:p w14:paraId="14776E1D" w14:textId="5E9CCBD4" w:rsidR="00D94024" w:rsidRPr="00CD65BA" w:rsidRDefault="00EA22F3" w:rsidP="00004A35">
      <w:pPr>
        <w:pStyle w:val="NoSpacing"/>
        <w:widowControl w:val="0"/>
        <w:spacing w:after="60" w:line="276" w:lineRule="auto"/>
        <w:jc w:val="both"/>
        <w:rPr>
          <w:rFonts w:ascii="Arial" w:hAnsi="Arial" w:cs="Arial"/>
          <w:bCs/>
          <w:sz w:val="24"/>
          <w:szCs w:val="24"/>
          <w:lang w:val="az-Latn-AZ"/>
        </w:rPr>
      </w:pPr>
      <w:r w:rsidRPr="00CD65BA">
        <w:rPr>
          <w:rFonts w:ascii="Arial" w:hAnsi="Arial" w:cs="Arial"/>
          <w:bCs/>
          <w:sz w:val="24"/>
          <w:szCs w:val="24"/>
          <w:lang w:val="az-Latn-AZ"/>
        </w:rPr>
        <w:t xml:space="preserve">Hazırda “Azəristiliktəchizat” ASC üzrə 1 m² sahə üçün istilik təchizatı xidmətinin maya dəyəri 1,10 manat təşkil edir. Lakin 2011-ci ildən bu sahə üzrə ödənişlər 1 m² sahə üçün 15 qəpikdir. Aradakı qiymət fərqi dövlət büdcəsindən ayrılan subsidiya hesabına qarşılanır. Bu sahədə yumşaq tarif siyasəti həyata keçirilməklə optimal tarifin müəyyənləşdirilməsi qərara alınıb. Belə ki, “Azəristiliktəchizat” ASC tərəfindən əhali istehlakçı qrupuna göstərilən </w:t>
      </w:r>
      <w:r w:rsidRPr="00530266">
        <w:rPr>
          <w:rFonts w:ascii="Arial" w:hAnsi="Arial" w:cs="Arial"/>
          <w:b/>
          <w:sz w:val="24"/>
          <w:szCs w:val="24"/>
          <w:lang w:val="az-Latn-AZ"/>
        </w:rPr>
        <w:t>istilik xidmətinin tarifi sayğac quraşdırılmadığı halda aylıq 1 m</w:t>
      </w:r>
      <w:r w:rsidRPr="00530266">
        <w:rPr>
          <w:rFonts w:ascii="Arial" w:hAnsi="Arial" w:cs="Arial"/>
          <w:b/>
          <w:sz w:val="24"/>
          <w:szCs w:val="24"/>
          <w:vertAlign w:val="superscript"/>
          <w:lang w:val="az-Latn-AZ"/>
        </w:rPr>
        <w:t xml:space="preserve">2 </w:t>
      </w:r>
      <w:r w:rsidRPr="00530266">
        <w:rPr>
          <w:rFonts w:ascii="Arial" w:hAnsi="Arial" w:cs="Arial"/>
          <w:b/>
          <w:sz w:val="24"/>
          <w:szCs w:val="24"/>
          <w:lang w:val="az-Latn-AZ"/>
        </w:rPr>
        <w:t>üçün 30 qəpik səviyyəsində təsdiq edilib</w:t>
      </w:r>
      <w:r w:rsidRPr="00CD65BA">
        <w:rPr>
          <w:rFonts w:ascii="Arial" w:hAnsi="Arial" w:cs="Arial"/>
          <w:bCs/>
          <w:sz w:val="24"/>
          <w:szCs w:val="24"/>
          <w:lang w:val="az-Latn-AZ"/>
        </w:rPr>
        <w:t xml:space="preserve">. </w:t>
      </w:r>
      <w:r w:rsidRPr="00530266">
        <w:rPr>
          <w:rFonts w:ascii="Arial" w:hAnsi="Arial" w:cs="Arial"/>
          <w:b/>
          <w:sz w:val="24"/>
          <w:szCs w:val="24"/>
          <w:lang w:val="az-Latn-AZ"/>
        </w:rPr>
        <w:t>Sayğac quraşdırıldıqda isə 1 Qkal üçün</w:t>
      </w:r>
      <w:r w:rsidR="00607FDF" w:rsidRPr="00530266">
        <w:rPr>
          <w:rFonts w:ascii="Arial" w:hAnsi="Arial" w:cs="Arial"/>
          <w:b/>
          <w:sz w:val="24"/>
          <w:szCs w:val="24"/>
          <w:lang w:val="az-Latn-AZ"/>
        </w:rPr>
        <w:t xml:space="preserve"> (təqribən 40-50 </w:t>
      </w:r>
      <w:r w:rsidR="00B64EF9" w:rsidRPr="00B64EF9">
        <w:rPr>
          <w:rFonts w:ascii="Arial" w:hAnsi="Arial" w:cs="Arial"/>
          <w:b/>
          <w:sz w:val="24"/>
          <w:szCs w:val="24"/>
          <w:lang w:val="az-Latn-AZ"/>
        </w:rPr>
        <w:t>m²</w:t>
      </w:r>
      <w:r w:rsidR="00607FDF" w:rsidRPr="00530266">
        <w:rPr>
          <w:rFonts w:ascii="Arial" w:hAnsi="Arial" w:cs="Arial"/>
          <w:b/>
          <w:sz w:val="24"/>
          <w:szCs w:val="24"/>
          <w:lang w:val="az-Latn-AZ"/>
        </w:rPr>
        <w:t xml:space="preserve"> sahə üçün)</w:t>
      </w:r>
      <w:r w:rsidRPr="00530266">
        <w:rPr>
          <w:rFonts w:ascii="Arial" w:hAnsi="Arial" w:cs="Arial"/>
          <w:b/>
          <w:sz w:val="24"/>
          <w:szCs w:val="24"/>
          <w:lang w:val="az-Latn-AZ"/>
        </w:rPr>
        <w:t xml:space="preserve"> 14,6 manat</w:t>
      </w:r>
      <w:r w:rsidRPr="00CD65BA">
        <w:rPr>
          <w:rFonts w:ascii="Arial" w:hAnsi="Arial" w:cs="Arial"/>
          <w:bCs/>
          <w:sz w:val="24"/>
          <w:szCs w:val="24"/>
          <w:lang w:val="az-Latn-AZ"/>
        </w:rPr>
        <w:t xml:space="preserve"> həddində müəyyənləşdirilib.</w:t>
      </w:r>
    </w:p>
    <w:p w14:paraId="51CDD0EE" w14:textId="6BDE0176" w:rsidR="002C1D4D" w:rsidRPr="00CD65BA" w:rsidRDefault="00292D81" w:rsidP="00004A35">
      <w:pPr>
        <w:pStyle w:val="NoSpacing"/>
        <w:widowControl w:val="0"/>
        <w:spacing w:after="60" w:line="276" w:lineRule="auto"/>
        <w:jc w:val="both"/>
        <w:rPr>
          <w:rFonts w:ascii="Arial" w:hAnsi="Arial" w:cs="Arial"/>
          <w:bCs/>
          <w:sz w:val="24"/>
          <w:szCs w:val="24"/>
          <w:lang w:val="az-Latn-AZ"/>
        </w:rPr>
      </w:pPr>
      <w:r w:rsidRPr="00CD65BA">
        <w:rPr>
          <w:rFonts w:ascii="Arial" w:hAnsi="Arial" w:cs="Arial"/>
          <w:bCs/>
          <w:sz w:val="24"/>
          <w:szCs w:val="24"/>
          <w:lang w:val="az-Latn-AZ"/>
        </w:rPr>
        <w:t>Bu tarif tənzimləməsi dövlət büdcəsindən asılılığın azalmasına</w:t>
      </w:r>
      <w:r w:rsidR="009721AA" w:rsidRPr="00CD65BA">
        <w:rPr>
          <w:rFonts w:ascii="Arial" w:hAnsi="Arial" w:cs="Arial"/>
          <w:bCs/>
          <w:sz w:val="24"/>
          <w:szCs w:val="24"/>
          <w:lang w:val="az-Latn-AZ"/>
        </w:rPr>
        <w:t>, istilik təchizatının əhatəsinin genişləndirilməsinə və bu şəkildə xidmətin keyfiyyətinin yüksəldilməsinə şərait yaradacaq</w:t>
      </w:r>
      <w:r w:rsidR="007E5F17" w:rsidRPr="00CD65BA">
        <w:rPr>
          <w:rFonts w:ascii="Arial" w:hAnsi="Arial" w:cs="Arial"/>
          <w:bCs/>
          <w:sz w:val="24"/>
          <w:szCs w:val="24"/>
          <w:lang w:val="az-Latn-AZ"/>
        </w:rPr>
        <w:t>.</w:t>
      </w:r>
    </w:p>
    <w:p w14:paraId="72628E52" w14:textId="77777777" w:rsidR="003B7BAA" w:rsidRPr="000F0835" w:rsidRDefault="003B7BAA" w:rsidP="00004A35">
      <w:pPr>
        <w:pStyle w:val="NoSpacing"/>
        <w:widowControl w:val="0"/>
        <w:spacing w:after="60" w:line="276" w:lineRule="auto"/>
        <w:jc w:val="both"/>
        <w:rPr>
          <w:rFonts w:ascii="Arial" w:hAnsi="Arial" w:cs="Arial"/>
          <w:b/>
          <w:sz w:val="24"/>
          <w:szCs w:val="24"/>
          <w:u w:val="single"/>
          <w:lang w:val="az-Latn-AZ"/>
        </w:rPr>
      </w:pPr>
    </w:p>
    <w:p w14:paraId="2E35AC8F" w14:textId="5A2902F0" w:rsidR="00D81E04" w:rsidRPr="000F0835" w:rsidRDefault="00D81E04" w:rsidP="00004A35">
      <w:pPr>
        <w:pStyle w:val="NoSpacing"/>
        <w:widowControl w:val="0"/>
        <w:spacing w:after="60" w:line="276" w:lineRule="auto"/>
        <w:jc w:val="both"/>
        <w:rPr>
          <w:rFonts w:ascii="Arial" w:hAnsi="Arial" w:cs="Arial"/>
          <w:b/>
          <w:sz w:val="24"/>
          <w:szCs w:val="24"/>
          <w:u w:val="single"/>
          <w:lang w:val="az-Latn-AZ"/>
        </w:rPr>
      </w:pPr>
      <w:r w:rsidRPr="000F0835">
        <w:rPr>
          <w:rFonts w:ascii="Arial" w:hAnsi="Arial" w:cs="Arial"/>
          <w:b/>
          <w:sz w:val="24"/>
          <w:szCs w:val="24"/>
          <w:u w:val="single"/>
          <w:lang w:val="az-Latn-AZ"/>
        </w:rPr>
        <w:lastRenderedPageBreak/>
        <w:t>Təbii qaz tarifləri</w:t>
      </w:r>
      <w:r w:rsidR="005B41B5" w:rsidRPr="000F0835">
        <w:rPr>
          <w:rFonts w:ascii="Arial" w:hAnsi="Arial" w:cs="Arial"/>
          <w:b/>
          <w:sz w:val="24"/>
          <w:szCs w:val="24"/>
          <w:u w:val="single"/>
          <w:lang w:val="az-Latn-AZ"/>
        </w:rPr>
        <w:t>:</w:t>
      </w:r>
    </w:p>
    <w:p w14:paraId="34393A0A" w14:textId="72FCCAE8" w:rsidR="008F305F" w:rsidRPr="000F0835" w:rsidRDefault="00676014"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Ölkəmizdə t</w:t>
      </w:r>
      <w:r w:rsidR="001B319E" w:rsidRPr="000F0835">
        <w:rPr>
          <w:rFonts w:ascii="Arial" w:hAnsi="Arial" w:cs="Arial"/>
          <w:sz w:val="24"/>
          <w:szCs w:val="24"/>
          <w:lang w:val="az-Latn-AZ"/>
        </w:rPr>
        <w:t>əbii qaz üzrə mövcud ölkədaxili orta tarif maya dəyərindən aşağı</w:t>
      </w:r>
      <w:r w:rsidRPr="000F0835">
        <w:rPr>
          <w:rFonts w:ascii="Arial" w:hAnsi="Arial" w:cs="Arial"/>
          <w:sz w:val="24"/>
          <w:szCs w:val="24"/>
          <w:lang w:val="az-Latn-AZ"/>
        </w:rPr>
        <w:t>dır.</w:t>
      </w:r>
      <w:r w:rsidR="001B319E" w:rsidRPr="000F0835">
        <w:rPr>
          <w:rFonts w:ascii="Arial" w:hAnsi="Arial" w:cs="Arial"/>
          <w:sz w:val="24"/>
          <w:szCs w:val="24"/>
          <w:lang w:val="az-Latn-AZ"/>
        </w:rPr>
        <w:t xml:space="preserve"> </w:t>
      </w:r>
      <w:r w:rsidRPr="000F0835">
        <w:rPr>
          <w:rFonts w:ascii="Arial" w:hAnsi="Arial" w:cs="Arial"/>
          <w:sz w:val="24"/>
          <w:szCs w:val="24"/>
          <w:lang w:val="az-Latn-AZ"/>
        </w:rPr>
        <w:t>Bu</w:t>
      </w:r>
      <w:r w:rsidR="00EB5555" w:rsidRPr="000F0835">
        <w:rPr>
          <w:rFonts w:ascii="Arial" w:hAnsi="Arial" w:cs="Arial"/>
          <w:sz w:val="24"/>
          <w:szCs w:val="24"/>
          <w:lang w:val="az-Latn-AZ"/>
        </w:rPr>
        <w:t>, iqtisadi zərərin qarşısının alınması</w:t>
      </w:r>
      <w:r w:rsidR="00D94024" w:rsidRPr="000F0835">
        <w:rPr>
          <w:rFonts w:ascii="Arial" w:hAnsi="Arial" w:cs="Arial"/>
          <w:sz w:val="24"/>
          <w:szCs w:val="24"/>
          <w:lang w:val="az-Latn-AZ"/>
        </w:rPr>
        <w:t>,</w:t>
      </w:r>
      <w:r w:rsidR="00EB5555" w:rsidRPr="000F0835">
        <w:rPr>
          <w:rFonts w:ascii="Arial" w:hAnsi="Arial" w:cs="Arial"/>
          <w:sz w:val="24"/>
          <w:szCs w:val="24"/>
          <w:lang w:val="az-Latn-AZ"/>
        </w:rPr>
        <w:t xml:space="preserve"> rentabelliliyin</w:t>
      </w:r>
      <w:r w:rsidRPr="000F0835">
        <w:rPr>
          <w:rFonts w:ascii="Arial" w:hAnsi="Arial" w:cs="Arial"/>
          <w:sz w:val="24"/>
          <w:szCs w:val="24"/>
          <w:lang w:val="az-Latn-AZ"/>
        </w:rPr>
        <w:t xml:space="preserve"> təmin edilməsi</w:t>
      </w:r>
      <w:r w:rsidR="00D94024" w:rsidRPr="000F0835">
        <w:rPr>
          <w:rFonts w:ascii="Arial" w:hAnsi="Arial" w:cs="Arial"/>
          <w:sz w:val="24"/>
          <w:szCs w:val="24"/>
          <w:lang w:val="az-Latn-AZ"/>
        </w:rPr>
        <w:t xml:space="preserve"> və bu sahəyə investisiyaların artırılması</w:t>
      </w:r>
      <w:r w:rsidRPr="000F0835">
        <w:rPr>
          <w:rFonts w:ascii="Arial" w:hAnsi="Arial" w:cs="Arial"/>
          <w:sz w:val="24"/>
          <w:szCs w:val="24"/>
          <w:lang w:val="az-Latn-AZ"/>
        </w:rPr>
        <w:t xml:space="preserve"> üçün yeni tarif tənzimləməsi</w:t>
      </w:r>
      <w:r w:rsidR="00EB5555" w:rsidRPr="000F0835">
        <w:rPr>
          <w:rFonts w:ascii="Arial" w:hAnsi="Arial" w:cs="Arial"/>
          <w:sz w:val="24"/>
          <w:szCs w:val="24"/>
          <w:lang w:val="az-Latn-AZ"/>
        </w:rPr>
        <w:t xml:space="preserve"> </w:t>
      </w:r>
      <w:r w:rsidRPr="000F0835">
        <w:rPr>
          <w:rFonts w:ascii="Arial" w:hAnsi="Arial" w:cs="Arial"/>
          <w:sz w:val="24"/>
          <w:szCs w:val="24"/>
          <w:lang w:val="az-Latn-AZ"/>
        </w:rPr>
        <w:t>zərur</w:t>
      </w:r>
      <w:r w:rsidR="00090D40" w:rsidRPr="000F0835">
        <w:rPr>
          <w:rFonts w:ascii="Arial" w:hAnsi="Arial" w:cs="Arial"/>
          <w:sz w:val="24"/>
          <w:szCs w:val="24"/>
          <w:lang w:val="az-Latn-AZ"/>
        </w:rPr>
        <w:t>əti yara</w:t>
      </w:r>
      <w:r w:rsidR="001E2D78">
        <w:rPr>
          <w:rFonts w:ascii="Arial" w:hAnsi="Arial" w:cs="Arial"/>
          <w:sz w:val="24"/>
          <w:szCs w:val="24"/>
          <w:lang w:val="az-Latn-AZ"/>
        </w:rPr>
        <w:t>dıb</w:t>
      </w:r>
      <w:r w:rsidR="00EB5555" w:rsidRPr="000F0835">
        <w:rPr>
          <w:rFonts w:ascii="Arial" w:hAnsi="Arial" w:cs="Arial"/>
          <w:sz w:val="24"/>
          <w:szCs w:val="24"/>
          <w:lang w:val="az-Latn-AZ"/>
        </w:rPr>
        <w:t xml:space="preserve">. </w:t>
      </w:r>
    </w:p>
    <w:p w14:paraId="16ADB9BF" w14:textId="031FCDF2" w:rsidR="008F305F" w:rsidRPr="000F0835" w:rsidRDefault="00D2103E" w:rsidP="00004A35">
      <w:pPr>
        <w:pStyle w:val="NoSpacing"/>
        <w:widowControl w:val="0"/>
        <w:spacing w:after="60" w:line="276" w:lineRule="auto"/>
        <w:jc w:val="both"/>
        <w:rPr>
          <w:rFonts w:ascii="Arial" w:hAnsi="Arial" w:cs="Arial"/>
          <w:b/>
          <w:sz w:val="24"/>
          <w:szCs w:val="24"/>
          <w:lang w:val="az-Latn-AZ"/>
        </w:rPr>
      </w:pPr>
      <w:r w:rsidRPr="000F0835">
        <w:rPr>
          <w:rFonts w:ascii="Arial" w:hAnsi="Arial" w:cs="Arial"/>
          <w:sz w:val="24"/>
          <w:szCs w:val="24"/>
          <w:lang w:val="az-Latn-AZ"/>
        </w:rPr>
        <w:t>Dövlətin sosial siyasəti və enerji resurslarından səmərəli isfadənin təşviqi məqsədilə istilik təchizatı üçün</w:t>
      </w:r>
      <w:r w:rsidR="003B7BAA" w:rsidRPr="000F0835">
        <w:rPr>
          <w:rFonts w:ascii="Arial" w:hAnsi="Arial" w:cs="Arial"/>
          <w:sz w:val="24"/>
          <w:szCs w:val="24"/>
          <w:lang w:val="az-Latn-AZ"/>
        </w:rPr>
        <w:t xml:space="preserve"> </w:t>
      </w:r>
      <w:r w:rsidR="003B7BAA" w:rsidRPr="008434EB">
        <w:rPr>
          <w:rFonts w:ascii="Arial" w:hAnsi="Arial" w:cs="Arial"/>
          <w:b/>
          <w:bCs/>
          <w:sz w:val="24"/>
          <w:szCs w:val="24"/>
          <w:lang w:val="az-Latn-AZ"/>
        </w:rPr>
        <w:t>çoxmənzilli binalar</w:t>
      </w:r>
      <w:r w:rsidR="00887F1F" w:rsidRPr="008434EB">
        <w:rPr>
          <w:rFonts w:ascii="Arial" w:hAnsi="Arial" w:cs="Arial"/>
          <w:b/>
          <w:bCs/>
          <w:sz w:val="24"/>
          <w:szCs w:val="24"/>
          <w:lang w:val="az-Latn-AZ"/>
        </w:rPr>
        <w:t>ın</w:t>
      </w:r>
      <w:r w:rsidR="003B7BAA" w:rsidRPr="008434EB">
        <w:rPr>
          <w:rFonts w:ascii="Arial" w:hAnsi="Arial" w:cs="Arial"/>
          <w:b/>
          <w:bCs/>
          <w:sz w:val="24"/>
          <w:szCs w:val="24"/>
          <w:lang w:val="az-Latn-AZ"/>
        </w:rPr>
        <w:t xml:space="preserve"> </w:t>
      </w:r>
      <w:r w:rsidRPr="008434EB">
        <w:rPr>
          <w:rFonts w:ascii="Arial" w:hAnsi="Arial" w:cs="Arial"/>
          <w:b/>
          <w:bCs/>
          <w:sz w:val="24"/>
          <w:szCs w:val="24"/>
          <w:lang w:val="az-Latn-AZ"/>
        </w:rPr>
        <w:t>mərkəzləşdirilmiş qazanxanalar</w:t>
      </w:r>
      <w:r w:rsidR="00887F1F" w:rsidRPr="008434EB">
        <w:rPr>
          <w:rFonts w:ascii="Arial" w:hAnsi="Arial" w:cs="Arial"/>
          <w:b/>
          <w:bCs/>
          <w:sz w:val="24"/>
          <w:szCs w:val="24"/>
          <w:lang w:val="az-Latn-AZ"/>
        </w:rPr>
        <w:t>ın</w:t>
      </w:r>
      <w:r w:rsidRPr="008434EB">
        <w:rPr>
          <w:rFonts w:ascii="Arial" w:hAnsi="Arial" w:cs="Arial"/>
          <w:b/>
          <w:bCs/>
          <w:sz w:val="24"/>
          <w:szCs w:val="24"/>
          <w:lang w:val="az-Latn-AZ"/>
        </w:rPr>
        <w:t xml:space="preserve">a verilən </w:t>
      </w:r>
      <w:r w:rsidR="009B68F5" w:rsidRPr="008434EB">
        <w:rPr>
          <w:rFonts w:ascii="Arial" w:hAnsi="Arial" w:cs="Arial"/>
          <w:b/>
          <w:bCs/>
          <w:sz w:val="24"/>
          <w:szCs w:val="24"/>
          <w:lang w:val="az-Latn-AZ"/>
        </w:rPr>
        <w:t xml:space="preserve">1 kub metr </w:t>
      </w:r>
      <w:r w:rsidRPr="008434EB">
        <w:rPr>
          <w:rFonts w:ascii="Arial" w:hAnsi="Arial" w:cs="Arial"/>
          <w:b/>
          <w:bCs/>
          <w:sz w:val="24"/>
          <w:szCs w:val="24"/>
          <w:lang w:val="az-Latn-AZ"/>
        </w:rPr>
        <w:t>tə</w:t>
      </w:r>
      <w:r w:rsidR="007A63E6" w:rsidRPr="008434EB">
        <w:rPr>
          <w:rFonts w:ascii="Arial" w:hAnsi="Arial" w:cs="Arial"/>
          <w:b/>
          <w:bCs/>
          <w:sz w:val="24"/>
          <w:szCs w:val="24"/>
          <w:lang w:val="az-Latn-AZ"/>
        </w:rPr>
        <w:t>bii qazın tarifi</w:t>
      </w:r>
      <w:r w:rsidR="00EA22F3" w:rsidRPr="008434EB">
        <w:rPr>
          <w:rFonts w:ascii="Arial" w:hAnsi="Arial" w:cs="Arial"/>
          <w:b/>
          <w:bCs/>
          <w:sz w:val="24"/>
          <w:szCs w:val="24"/>
          <w:lang w:val="az-Latn-AZ"/>
        </w:rPr>
        <w:t xml:space="preserve"> dəyişdirilməyib</w:t>
      </w:r>
      <w:r w:rsidR="007E5F17" w:rsidRPr="000F0835">
        <w:rPr>
          <w:rFonts w:ascii="Arial" w:hAnsi="Arial" w:cs="Arial"/>
          <w:b/>
          <w:sz w:val="24"/>
          <w:szCs w:val="24"/>
          <w:lang w:val="az-Latn-AZ"/>
        </w:rPr>
        <w:t>.</w:t>
      </w:r>
      <w:r w:rsidR="00972743" w:rsidRPr="000F0835">
        <w:rPr>
          <w:rFonts w:ascii="Arial" w:hAnsi="Arial" w:cs="Arial"/>
          <w:b/>
          <w:sz w:val="24"/>
          <w:szCs w:val="24"/>
          <w:lang w:val="az-Latn-AZ"/>
        </w:rPr>
        <w:t xml:space="preserve"> </w:t>
      </w:r>
    </w:p>
    <w:p w14:paraId="2E2F5676" w14:textId="30C42E5B" w:rsidR="00613309" w:rsidRPr="008434EB" w:rsidRDefault="00D81E04" w:rsidP="00004A35">
      <w:pPr>
        <w:pStyle w:val="NoSpacing"/>
        <w:widowControl w:val="0"/>
        <w:spacing w:after="60" w:line="276" w:lineRule="auto"/>
        <w:jc w:val="both"/>
        <w:rPr>
          <w:rFonts w:ascii="Arial" w:hAnsi="Arial" w:cs="Arial"/>
          <w:b/>
          <w:bCs/>
          <w:sz w:val="24"/>
          <w:szCs w:val="24"/>
          <w:lang w:val="az-Latn-AZ"/>
        </w:rPr>
      </w:pPr>
      <w:r w:rsidRPr="008434EB">
        <w:rPr>
          <w:rFonts w:ascii="Arial" w:hAnsi="Arial" w:cs="Arial"/>
          <w:b/>
          <w:bCs/>
          <w:sz w:val="24"/>
          <w:szCs w:val="24"/>
          <w:lang w:val="az-Latn-AZ"/>
        </w:rPr>
        <w:t>Ə</w:t>
      </w:r>
      <w:r w:rsidR="009B68F5" w:rsidRPr="008434EB">
        <w:rPr>
          <w:rFonts w:ascii="Arial" w:hAnsi="Arial" w:cs="Arial"/>
          <w:b/>
          <w:bCs/>
          <w:sz w:val="24"/>
          <w:szCs w:val="24"/>
          <w:lang w:val="az-Latn-AZ"/>
        </w:rPr>
        <w:t>hali üzrə illik istehlak həcmi</w:t>
      </w:r>
      <w:r w:rsidR="00613309" w:rsidRPr="008434EB">
        <w:rPr>
          <w:rFonts w:ascii="Arial" w:hAnsi="Arial" w:cs="Arial"/>
          <w:b/>
          <w:bCs/>
          <w:sz w:val="24"/>
          <w:szCs w:val="24"/>
          <w:lang w:val="az-Latn-AZ"/>
        </w:rPr>
        <w:t>:</w:t>
      </w:r>
      <w:r w:rsidR="009B68F5" w:rsidRPr="008434EB">
        <w:rPr>
          <w:rFonts w:ascii="Arial" w:hAnsi="Arial" w:cs="Arial"/>
          <w:b/>
          <w:bCs/>
          <w:sz w:val="24"/>
          <w:szCs w:val="24"/>
          <w:lang w:val="az-Latn-AZ"/>
        </w:rPr>
        <w:t xml:space="preserve"> </w:t>
      </w:r>
    </w:p>
    <w:p w14:paraId="5BE72D22" w14:textId="6701238F" w:rsidR="00613309" w:rsidRPr="000F0835" w:rsidRDefault="009B68F5" w:rsidP="00EC2667">
      <w:pPr>
        <w:pStyle w:val="NoSpacing"/>
        <w:widowControl w:val="0"/>
        <w:numPr>
          <w:ilvl w:val="0"/>
          <w:numId w:val="10"/>
        </w:numPr>
        <w:spacing w:after="60" w:line="276" w:lineRule="auto"/>
        <w:ind w:left="426" w:right="282"/>
        <w:jc w:val="both"/>
        <w:rPr>
          <w:rFonts w:ascii="Arial" w:hAnsi="Arial" w:cs="Arial"/>
          <w:sz w:val="24"/>
          <w:szCs w:val="24"/>
          <w:lang w:val="az-Latn-AZ"/>
        </w:rPr>
      </w:pPr>
      <w:r w:rsidRPr="000F0835">
        <w:rPr>
          <w:rFonts w:ascii="Arial" w:hAnsi="Arial" w:cs="Arial"/>
          <w:b/>
          <w:bCs/>
          <w:sz w:val="24"/>
          <w:szCs w:val="24"/>
          <w:lang w:val="az-Latn-AZ"/>
        </w:rPr>
        <w:t>1200 kub metr</w:t>
      </w:r>
      <w:r w:rsidRPr="000F0835">
        <w:rPr>
          <w:rFonts w:ascii="Arial" w:hAnsi="Arial" w:cs="Arial"/>
          <w:sz w:val="24"/>
          <w:szCs w:val="24"/>
          <w:lang w:val="az-Latn-AZ"/>
        </w:rPr>
        <w:t xml:space="preserve"> olan hissə üçün 1 kub metr təbii qazın</w:t>
      </w:r>
      <w:r w:rsidR="00972743" w:rsidRPr="000F0835">
        <w:rPr>
          <w:rFonts w:ascii="Arial" w:hAnsi="Arial" w:cs="Arial"/>
          <w:sz w:val="24"/>
          <w:szCs w:val="24"/>
          <w:lang w:val="az-Latn-AZ"/>
        </w:rPr>
        <w:t xml:space="preserve"> tarifi </w:t>
      </w:r>
      <w:r w:rsidR="00972743" w:rsidRPr="000F0835">
        <w:rPr>
          <w:rFonts w:ascii="Arial" w:hAnsi="Arial" w:cs="Arial"/>
          <w:b/>
          <w:sz w:val="24"/>
          <w:szCs w:val="24"/>
          <w:lang w:val="az-Latn-AZ"/>
        </w:rPr>
        <w:t>0,5 q</w:t>
      </w:r>
      <w:r w:rsidR="00D81E04" w:rsidRPr="000F0835">
        <w:rPr>
          <w:rFonts w:ascii="Arial" w:hAnsi="Arial" w:cs="Arial"/>
          <w:b/>
          <w:sz w:val="24"/>
          <w:szCs w:val="24"/>
          <w:lang w:val="az-Latn-AZ"/>
        </w:rPr>
        <w:t xml:space="preserve">əpik </w:t>
      </w:r>
      <w:r w:rsidR="00D81E04" w:rsidRPr="000F0835">
        <w:rPr>
          <w:rFonts w:ascii="Arial" w:hAnsi="Arial" w:cs="Arial"/>
          <w:bCs/>
          <w:sz w:val="24"/>
          <w:szCs w:val="24"/>
          <w:lang w:val="az-Latn-AZ"/>
        </w:rPr>
        <w:t>(yarım qəpik</w:t>
      </w:r>
      <w:r w:rsidR="00C47F9E" w:rsidRPr="000F0835">
        <w:rPr>
          <w:rFonts w:ascii="Arial" w:hAnsi="Arial" w:cs="Arial"/>
          <w:bCs/>
          <w:sz w:val="24"/>
          <w:szCs w:val="24"/>
          <w:lang w:val="az-Latn-AZ"/>
        </w:rPr>
        <w:t xml:space="preserve">, </w:t>
      </w:r>
      <w:r w:rsidR="00887F1F" w:rsidRPr="000F0835">
        <w:rPr>
          <w:rFonts w:ascii="Arial" w:hAnsi="Arial" w:cs="Arial"/>
          <w:bCs/>
          <w:sz w:val="24"/>
          <w:szCs w:val="24"/>
          <w:lang w:val="az-Latn-AZ"/>
        </w:rPr>
        <w:t>4,2</w:t>
      </w:r>
      <w:r w:rsidR="00C47F9E" w:rsidRPr="000F0835">
        <w:rPr>
          <w:rFonts w:ascii="Arial" w:hAnsi="Arial" w:cs="Arial"/>
          <w:bCs/>
          <w:sz w:val="24"/>
          <w:szCs w:val="24"/>
          <w:lang w:val="az-Latn-AZ"/>
        </w:rPr>
        <w:t>%</w:t>
      </w:r>
      <w:r w:rsidR="00D81E04" w:rsidRPr="000F0835">
        <w:rPr>
          <w:rFonts w:ascii="Arial" w:hAnsi="Arial" w:cs="Arial"/>
          <w:bCs/>
          <w:sz w:val="24"/>
          <w:szCs w:val="24"/>
          <w:lang w:val="az-Latn-AZ"/>
        </w:rPr>
        <w:t xml:space="preserve">) </w:t>
      </w:r>
      <w:r w:rsidR="00D81E04" w:rsidRPr="00807797">
        <w:rPr>
          <w:rFonts w:ascii="Arial" w:hAnsi="Arial" w:cs="Arial"/>
          <w:sz w:val="24"/>
          <w:szCs w:val="24"/>
          <w:lang w:val="az-Latn-AZ"/>
        </w:rPr>
        <w:t>artırılaraq</w:t>
      </w:r>
      <w:r w:rsidR="00972743" w:rsidRPr="000F0835">
        <w:rPr>
          <w:rFonts w:ascii="Arial" w:hAnsi="Arial" w:cs="Arial"/>
          <w:sz w:val="24"/>
          <w:szCs w:val="24"/>
          <w:lang w:val="az-Latn-AZ"/>
        </w:rPr>
        <w:t xml:space="preserve"> 12</w:t>
      </w:r>
      <w:r w:rsidRPr="000F0835">
        <w:rPr>
          <w:rFonts w:ascii="Arial" w:hAnsi="Arial" w:cs="Arial"/>
          <w:sz w:val="24"/>
          <w:szCs w:val="24"/>
          <w:lang w:val="az-Latn-AZ"/>
        </w:rPr>
        <w:t xml:space="preserve"> qəpikdən </w:t>
      </w:r>
      <w:r w:rsidRPr="000F0835">
        <w:rPr>
          <w:rFonts w:ascii="Arial" w:hAnsi="Arial" w:cs="Arial"/>
          <w:b/>
          <w:bCs/>
          <w:sz w:val="24"/>
          <w:szCs w:val="24"/>
          <w:lang w:val="az-Latn-AZ"/>
        </w:rPr>
        <w:t>12,5 qəpi</w:t>
      </w:r>
      <w:r w:rsidR="00D81E04" w:rsidRPr="000F0835">
        <w:rPr>
          <w:rFonts w:ascii="Arial" w:hAnsi="Arial" w:cs="Arial"/>
          <w:b/>
          <w:bCs/>
          <w:sz w:val="24"/>
          <w:szCs w:val="24"/>
          <w:lang w:val="az-Latn-AZ"/>
        </w:rPr>
        <w:t>k həddində</w:t>
      </w:r>
      <w:r w:rsidR="00613309" w:rsidRPr="000F0835">
        <w:rPr>
          <w:rFonts w:ascii="Arial" w:hAnsi="Arial" w:cs="Arial"/>
          <w:sz w:val="24"/>
          <w:szCs w:val="24"/>
          <w:lang w:val="az-Latn-AZ"/>
        </w:rPr>
        <w:t>;</w:t>
      </w:r>
      <w:r w:rsidR="00D81E04" w:rsidRPr="000F0835">
        <w:rPr>
          <w:rFonts w:ascii="Arial" w:hAnsi="Arial" w:cs="Arial"/>
          <w:sz w:val="24"/>
          <w:szCs w:val="24"/>
          <w:lang w:val="az-Latn-AZ"/>
        </w:rPr>
        <w:t xml:space="preserve"> </w:t>
      </w:r>
    </w:p>
    <w:p w14:paraId="30AC483A" w14:textId="53A851BE" w:rsidR="008E1DA5" w:rsidRPr="000F0835" w:rsidRDefault="009B68F5" w:rsidP="00EC2667">
      <w:pPr>
        <w:pStyle w:val="NoSpacing"/>
        <w:widowControl w:val="0"/>
        <w:numPr>
          <w:ilvl w:val="0"/>
          <w:numId w:val="10"/>
        </w:numPr>
        <w:spacing w:after="60" w:line="276" w:lineRule="auto"/>
        <w:ind w:left="426" w:right="282"/>
        <w:jc w:val="both"/>
        <w:rPr>
          <w:rFonts w:ascii="Arial" w:hAnsi="Arial" w:cs="Arial"/>
          <w:sz w:val="24"/>
          <w:szCs w:val="24"/>
          <w:lang w:val="az-Latn-AZ"/>
        </w:rPr>
      </w:pPr>
      <w:r w:rsidRPr="000F0835">
        <w:rPr>
          <w:rFonts w:ascii="Arial" w:hAnsi="Arial" w:cs="Arial"/>
          <w:b/>
          <w:bCs/>
          <w:sz w:val="24"/>
          <w:szCs w:val="24"/>
          <w:lang w:val="az-Latn-AZ"/>
        </w:rPr>
        <w:t>1200 kub metrdən 2500 kub</w:t>
      </w:r>
      <w:r w:rsidRPr="000F0835">
        <w:rPr>
          <w:rFonts w:ascii="Arial" w:hAnsi="Arial" w:cs="Arial"/>
          <w:sz w:val="24"/>
          <w:szCs w:val="24"/>
          <w:lang w:val="az-Latn-AZ"/>
        </w:rPr>
        <w:t xml:space="preserve"> metrədək olan hissə üçün</w:t>
      </w:r>
      <w:r w:rsidR="00D81E04" w:rsidRPr="000F0835">
        <w:rPr>
          <w:rFonts w:ascii="Arial" w:hAnsi="Arial" w:cs="Arial"/>
          <w:sz w:val="24"/>
          <w:szCs w:val="24"/>
          <w:lang w:val="az-Latn-AZ"/>
        </w:rPr>
        <w:t xml:space="preserve"> </w:t>
      </w:r>
      <w:r w:rsidR="00D81E04" w:rsidRPr="000F0835">
        <w:rPr>
          <w:rFonts w:ascii="Arial" w:hAnsi="Arial" w:cs="Arial"/>
          <w:b/>
          <w:bCs/>
          <w:sz w:val="24"/>
          <w:szCs w:val="24"/>
          <w:lang w:val="az-Latn-AZ"/>
        </w:rPr>
        <w:t>2 qəpik</w:t>
      </w:r>
      <w:r w:rsidR="00C47F9E" w:rsidRPr="000F0835">
        <w:rPr>
          <w:rFonts w:ascii="Arial" w:hAnsi="Arial" w:cs="Arial"/>
          <w:b/>
          <w:bCs/>
          <w:sz w:val="24"/>
          <w:szCs w:val="24"/>
          <w:lang w:val="az-Latn-AZ"/>
        </w:rPr>
        <w:t xml:space="preserve"> </w:t>
      </w:r>
      <w:r w:rsidR="00887F1F" w:rsidRPr="000F0835">
        <w:rPr>
          <w:rFonts w:ascii="Arial" w:hAnsi="Arial" w:cs="Arial"/>
          <w:sz w:val="24"/>
          <w:szCs w:val="24"/>
          <w:lang w:val="az-Latn-AZ"/>
        </w:rPr>
        <w:t>(10</w:t>
      </w:r>
      <w:r w:rsidR="00C47F9E" w:rsidRPr="000F0835">
        <w:rPr>
          <w:rFonts w:ascii="Arial" w:hAnsi="Arial" w:cs="Arial"/>
          <w:sz w:val="24"/>
          <w:szCs w:val="24"/>
          <w:lang w:val="az-Latn-AZ"/>
        </w:rPr>
        <w:t>%)</w:t>
      </w:r>
      <w:r w:rsidR="00D81E04" w:rsidRPr="000F0835">
        <w:rPr>
          <w:rFonts w:ascii="Arial" w:hAnsi="Arial" w:cs="Arial"/>
          <w:sz w:val="24"/>
          <w:szCs w:val="24"/>
          <w:lang w:val="az-Latn-AZ"/>
        </w:rPr>
        <w:t xml:space="preserve"> </w:t>
      </w:r>
      <w:r w:rsidR="004154D3" w:rsidRPr="00807797">
        <w:rPr>
          <w:rFonts w:ascii="Arial" w:hAnsi="Arial" w:cs="Arial"/>
          <w:bCs/>
          <w:sz w:val="24"/>
          <w:szCs w:val="24"/>
          <w:lang w:val="az-Latn-AZ"/>
        </w:rPr>
        <w:t>artırılaraq</w:t>
      </w:r>
      <w:r w:rsidRPr="000F0835">
        <w:rPr>
          <w:rFonts w:ascii="Arial" w:hAnsi="Arial" w:cs="Arial"/>
          <w:sz w:val="24"/>
          <w:szCs w:val="24"/>
          <w:lang w:val="az-Latn-AZ"/>
        </w:rPr>
        <w:t xml:space="preserve"> 2</w:t>
      </w:r>
      <w:r w:rsidR="00972743" w:rsidRPr="000F0835">
        <w:rPr>
          <w:rFonts w:ascii="Arial" w:hAnsi="Arial" w:cs="Arial"/>
          <w:sz w:val="24"/>
          <w:szCs w:val="24"/>
          <w:lang w:val="az-Latn-AZ"/>
        </w:rPr>
        <w:t>0</w:t>
      </w:r>
      <w:r w:rsidRPr="000F0835">
        <w:rPr>
          <w:rFonts w:ascii="Arial" w:hAnsi="Arial" w:cs="Arial"/>
          <w:sz w:val="24"/>
          <w:szCs w:val="24"/>
          <w:lang w:val="az-Latn-AZ"/>
        </w:rPr>
        <w:t xml:space="preserve"> qəpikdə</w:t>
      </w:r>
      <w:r w:rsidR="00972743" w:rsidRPr="000F0835">
        <w:rPr>
          <w:rFonts w:ascii="Arial" w:hAnsi="Arial" w:cs="Arial"/>
          <w:sz w:val="24"/>
          <w:szCs w:val="24"/>
          <w:lang w:val="az-Latn-AZ"/>
        </w:rPr>
        <w:t xml:space="preserve">n </w:t>
      </w:r>
      <w:r w:rsidR="00972743" w:rsidRPr="000F0835">
        <w:rPr>
          <w:rFonts w:ascii="Arial" w:hAnsi="Arial" w:cs="Arial"/>
          <w:b/>
          <w:bCs/>
          <w:sz w:val="24"/>
          <w:szCs w:val="24"/>
          <w:lang w:val="az-Latn-AZ"/>
        </w:rPr>
        <w:t>22</w:t>
      </w:r>
      <w:r w:rsidRPr="000F0835">
        <w:rPr>
          <w:rFonts w:ascii="Arial" w:hAnsi="Arial" w:cs="Arial"/>
          <w:b/>
          <w:bCs/>
          <w:sz w:val="24"/>
          <w:szCs w:val="24"/>
          <w:lang w:val="az-Latn-AZ"/>
        </w:rPr>
        <w:t xml:space="preserve"> qəpi</w:t>
      </w:r>
      <w:r w:rsidR="00D81E04" w:rsidRPr="000F0835">
        <w:rPr>
          <w:rFonts w:ascii="Arial" w:hAnsi="Arial" w:cs="Arial"/>
          <w:b/>
          <w:bCs/>
          <w:sz w:val="24"/>
          <w:szCs w:val="24"/>
          <w:lang w:val="az-Latn-AZ"/>
        </w:rPr>
        <w:t>k</w:t>
      </w:r>
      <w:r w:rsidR="00613309" w:rsidRPr="000F0835">
        <w:rPr>
          <w:rFonts w:ascii="Arial" w:hAnsi="Arial" w:cs="Arial"/>
          <w:sz w:val="24"/>
          <w:szCs w:val="24"/>
          <w:lang w:val="az-Latn-AZ"/>
        </w:rPr>
        <w:t>;</w:t>
      </w:r>
      <w:r w:rsidRPr="000F0835">
        <w:rPr>
          <w:rFonts w:ascii="Arial" w:hAnsi="Arial" w:cs="Arial"/>
          <w:sz w:val="24"/>
          <w:szCs w:val="24"/>
          <w:lang w:val="az-Latn-AZ"/>
        </w:rPr>
        <w:t xml:space="preserve"> </w:t>
      </w:r>
    </w:p>
    <w:p w14:paraId="04684FA5" w14:textId="0DFBC0D6" w:rsidR="00613309" w:rsidRPr="000F0835" w:rsidRDefault="009B68F5" w:rsidP="00EC2667">
      <w:pPr>
        <w:pStyle w:val="NoSpacing"/>
        <w:widowControl w:val="0"/>
        <w:numPr>
          <w:ilvl w:val="0"/>
          <w:numId w:val="10"/>
        </w:numPr>
        <w:spacing w:after="60" w:line="276" w:lineRule="auto"/>
        <w:ind w:left="426" w:right="282"/>
        <w:jc w:val="both"/>
        <w:rPr>
          <w:rFonts w:ascii="Arial" w:hAnsi="Arial" w:cs="Arial"/>
          <w:sz w:val="24"/>
          <w:szCs w:val="24"/>
          <w:lang w:val="az-Latn-AZ"/>
        </w:rPr>
      </w:pPr>
      <w:r w:rsidRPr="000F0835">
        <w:rPr>
          <w:rFonts w:ascii="Arial" w:hAnsi="Arial" w:cs="Arial"/>
          <w:b/>
          <w:bCs/>
          <w:sz w:val="24"/>
          <w:szCs w:val="24"/>
          <w:lang w:val="az-Latn-AZ"/>
        </w:rPr>
        <w:t>2500 kub metrdən çox</w:t>
      </w:r>
      <w:r w:rsidRPr="000F0835">
        <w:rPr>
          <w:rFonts w:ascii="Arial" w:hAnsi="Arial" w:cs="Arial"/>
          <w:sz w:val="24"/>
          <w:szCs w:val="24"/>
          <w:lang w:val="az-Latn-AZ"/>
        </w:rPr>
        <w:t xml:space="preserve"> olan hissə</w:t>
      </w:r>
      <w:r w:rsidR="00972743" w:rsidRPr="000F0835">
        <w:rPr>
          <w:rFonts w:ascii="Arial" w:hAnsi="Arial" w:cs="Arial"/>
          <w:sz w:val="24"/>
          <w:szCs w:val="24"/>
          <w:lang w:val="az-Latn-AZ"/>
        </w:rPr>
        <w:t xml:space="preserve"> üçün</w:t>
      </w:r>
      <w:r w:rsidR="00D81E04" w:rsidRPr="000F0835">
        <w:rPr>
          <w:rFonts w:ascii="Arial" w:hAnsi="Arial" w:cs="Arial"/>
          <w:sz w:val="24"/>
          <w:szCs w:val="24"/>
          <w:lang w:val="az-Latn-AZ"/>
        </w:rPr>
        <w:t xml:space="preserve"> </w:t>
      </w:r>
      <w:r w:rsidR="00D81E04" w:rsidRPr="000F0835">
        <w:rPr>
          <w:rFonts w:ascii="Arial" w:hAnsi="Arial" w:cs="Arial"/>
          <w:b/>
          <w:bCs/>
          <w:sz w:val="24"/>
          <w:szCs w:val="24"/>
          <w:lang w:val="az-Latn-AZ"/>
        </w:rPr>
        <w:t>5 qəpik</w:t>
      </w:r>
      <w:r w:rsidR="00C47F9E" w:rsidRPr="000F0835">
        <w:rPr>
          <w:rFonts w:ascii="Arial" w:hAnsi="Arial" w:cs="Arial"/>
          <w:b/>
          <w:bCs/>
          <w:sz w:val="24"/>
          <w:szCs w:val="24"/>
          <w:lang w:val="az-Latn-AZ"/>
        </w:rPr>
        <w:t xml:space="preserve"> </w:t>
      </w:r>
      <w:r w:rsidR="00887F1F" w:rsidRPr="00B249A9">
        <w:rPr>
          <w:rFonts w:ascii="Arial" w:hAnsi="Arial" w:cs="Arial"/>
          <w:sz w:val="24"/>
          <w:szCs w:val="24"/>
          <w:lang w:val="az-Latn-AZ"/>
        </w:rPr>
        <w:t>(20</w:t>
      </w:r>
      <w:r w:rsidR="00C47F9E" w:rsidRPr="00B249A9">
        <w:rPr>
          <w:rFonts w:ascii="Arial" w:hAnsi="Arial" w:cs="Arial"/>
          <w:sz w:val="24"/>
          <w:szCs w:val="24"/>
          <w:lang w:val="az-Latn-AZ"/>
        </w:rPr>
        <w:t>%)</w:t>
      </w:r>
      <w:r w:rsidR="00D81E04" w:rsidRPr="00B249A9">
        <w:rPr>
          <w:rFonts w:ascii="Arial" w:hAnsi="Arial" w:cs="Arial"/>
          <w:sz w:val="24"/>
          <w:szCs w:val="24"/>
          <w:lang w:val="az-Latn-AZ"/>
        </w:rPr>
        <w:t xml:space="preserve"> </w:t>
      </w:r>
      <w:r w:rsidR="004154D3" w:rsidRPr="00B249A9">
        <w:rPr>
          <w:rFonts w:ascii="Arial" w:hAnsi="Arial" w:cs="Arial"/>
          <w:sz w:val="24"/>
          <w:szCs w:val="24"/>
          <w:lang w:val="az-Latn-AZ"/>
        </w:rPr>
        <w:t>artırılaraq</w:t>
      </w:r>
      <w:r w:rsidR="00972743" w:rsidRPr="000F0835">
        <w:rPr>
          <w:rFonts w:ascii="Arial" w:hAnsi="Arial" w:cs="Arial"/>
          <w:sz w:val="24"/>
          <w:szCs w:val="24"/>
          <w:lang w:val="az-Latn-AZ"/>
        </w:rPr>
        <w:t xml:space="preserve"> 25</w:t>
      </w:r>
      <w:r w:rsidRPr="000F0835">
        <w:rPr>
          <w:rFonts w:ascii="Arial" w:hAnsi="Arial" w:cs="Arial"/>
          <w:sz w:val="24"/>
          <w:szCs w:val="24"/>
          <w:lang w:val="az-Latn-AZ"/>
        </w:rPr>
        <w:t xml:space="preserve"> qəpikdən </w:t>
      </w:r>
      <w:r w:rsidR="00972743" w:rsidRPr="000F0835">
        <w:rPr>
          <w:rFonts w:ascii="Arial" w:hAnsi="Arial" w:cs="Arial"/>
          <w:b/>
          <w:bCs/>
          <w:sz w:val="24"/>
          <w:szCs w:val="24"/>
          <w:lang w:val="az-Latn-AZ"/>
        </w:rPr>
        <w:t>30</w:t>
      </w:r>
      <w:r w:rsidRPr="000F0835">
        <w:rPr>
          <w:rFonts w:ascii="Arial" w:hAnsi="Arial" w:cs="Arial"/>
          <w:b/>
          <w:bCs/>
          <w:sz w:val="24"/>
          <w:szCs w:val="24"/>
          <w:lang w:val="az-Latn-AZ"/>
        </w:rPr>
        <w:t xml:space="preserve"> qəpi</w:t>
      </w:r>
      <w:r w:rsidR="00D81E04" w:rsidRPr="000F0835">
        <w:rPr>
          <w:rFonts w:ascii="Arial" w:hAnsi="Arial" w:cs="Arial"/>
          <w:b/>
          <w:bCs/>
          <w:sz w:val="24"/>
          <w:szCs w:val="24"/>
          <w:lang w:val="az-Latn-AZ"/>
        </w:rPr>
        <w:t>k</w:t>
      </w:r>
      <w:r w:rsidR="00D81E04" w:rsidRPr="000F0835">
        <w:rPr>
          <w:rFonts w:ascii="Arial" w:hAnsi="Arial" w:cs="Arial"/>
          <w:sz w:val="24"/>
          <w:szCs w:val="24"/>
          <w:lang w:val="az-Latn-AZ"/>
        </w:rPr>
        <w:t xml:space="preserve"> məbləğində təsdiqlənib.</w:t>
      </w:r>
    </w:p>
    <w:p w14:paraId="6A924BD6" w14:textId="5E225638" w:rsidR="00143AC1" w:rsidRPr="000F0835" w:rsidRDefault="00143AC1"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b/>
          <w:sz w:val="24"/>
          <w:szCs w:val="24"/>
          <w:lang w:val="az-Latn-AZ"/>
        </w:rPr>
        <w:t>1 kub metr təbii qaz üzrə</w:t>
      </w:r>
      <w:r w:rsidRPr="000F0835">
        <w:rPr>
          <w:rFonts w:ascii="Arial" w:hAnsi="Arial" w:cs="Arial"/>
          <w:sz w:val="24"/>
          <w:szCs w:val="24"/>
          <w:lang w:val="az-Latn-AZ"/>
        </w:rPr>
        <w:t xml:space="preserve"> </w:t>
      </w:r>
      <w:r w:rsidRPr="000F0835">
        <w:rPr>
          <w:rFonts w:ascii="Arial" w:hAnsi="Arial" w:cs="Arial"/>
          <w:b/>
          <w:sz w:val="24"/>
          <w:szCs w:val="24"/>
          <w:lang w:val="az-Latn-AZ"/>
        </w:rPr>
        <w:t>orta tarif</w:t>
      </w:r>
      <w:r w:rsidRPr="000F0835">
        <w:rPr>
          <w:rFonts w:ascii="Arial" w:hAnsi="Arial" w:cs="Arial"/>
          <w:sz w:val="24"/>
          <w:szCs w:val="24"/>
          <w:lang w:val="az-Latn-AZ"/>
        </w:rPr>
        <w:t xml:space="preserve"> </w:t>
      </w:r>
      <w:r w:rsidRPr="000F0835">
        <w:rPr>
          <w:rFonts w:ascii="Arial" w:hAnsi="Arial" w:cs="Arial"/>
          <w:b/>
          <w:sz w:val="24"/>
          <w:szCs w:val="24"/>
          <w:lang w:val="az-Latn-AZ"/>
        </w:rPr>
        <w:t>əhali üzrə</w:t>
      </w:r>
      <w:r w:rsidRPr="000F0835">
        <w:rPr>
          <w:rFonts w:ascii="Arial" w:hAnsi="Arial" w:cs="Arial"/>
          <w:sz w:val="24"/>
          <w:szCs w:val="24"/>
          <w:lang w:val="az-Latn-AZ"/>
        </w:rPr>
        <w:t xml:space="preserve"> </w:t>
      </w:r>
      <w:r w:rsidR="00292D81" w:rsidRPr="000F0835">
        <w:rPr>
          <w:rFonts w:ascii="Arial" w:hAnsi="Arial" w:cs="Arial"/>
          <w:b/>
          <w:bCs/>
          <w:sz w:val="24"/>
          <w:szCs w:val="24"/>
          <w:lang w:val="az-Latn-AZ"/>
        </w:rPr>
        <w:t>1,3</w:t>
      </w:r>
      <w:r w:rsidRPr="000F0835">
        <w:rPr>
          <w:rFonts w:ascii="Arial" w:hAnsi="Arial" w:cs="Arial"/>
          <w:sz w:val="24"/>
          <w:szCs w:val="24"/>
          <w:lang w:val="az-Latn-AZ"/>
        </w:rPr>
        <w:t xml:space="preserve"> </w:t>
      </w:r>
      <w:r w:rsidRPr="000F0835">
        <w:rPr>
          <w:rFonts w:ascii="Arial" w:hAnsi="Arial" w:cs="Arial"/>
          <w:b/>
          <w:sz w:val="24"/>
          <w:szCs w:val="24"/>
          <w:lang w:val="az-Latn-AZ"/>
        </w:rPr>
        <w:t>qəpik</w:t>
      </w:r>
      <w:r w:rsidR="00C47F9E" w:rsidRPr="000F0835">
        <w:rPr>
          <w:rFonts w:ascii="Arial" w:hAnsi="Arial" w:cs="Arial"/>
          <w:b/>
          <w:sz w:val="24"/>
          <w:szCs w:val="24"/>
          <w:lang w:val="az-Latn-AZ"/>
        </w:rPr>
        <w:t xml:space="preserve"> </w:t>
      </w:r>
      <w:r w:rsidR="00887F1F" w:rsidRPr="000F0835">
        <w:rPr>
          <w:rFonts w:ascii="Arial" w:hAnsi="Arial" w:cs="Arial"/>
          <w:b/>
          <w:bCs/>
          <w:sz w:val="24"/>
          <w:szCs w:val="24"/>
          <w:lang w:val="az-Latn-AZ"/>
        </w:rPr>
        <w:t>(8,7</w:t>
      </w:r>
      <w:r w:rsidR="00C47F9E" w:rsidRPr="000F0835">
        <w:rPr>
          <w:rFonts w:ascii="Arial" w:hAnsi="Arial" w:cs="Arial"/>
          <w:b/>
          <w:bCs/>
          <w:sz w:val="24"/>
          <w:szCs w:val="24"/>
          <w:lang w:val="az-Latn-AZ"/>
        </w:rPr>
        <w:t>%)</w:t>
      </w:r>
      <w:r w:rsidRPr="000F0835">
        <w:rPr>
          <w:rFonts w:ascii="Arial" w:hAnsi="Arial" w:cs="Arial"/>
          <w:sz w:val="24"/>
          <w:szCs w:val="24"/>
          <w:lang w:val="az-Latn-AZ"/>
        </w:rPr>
        <w:t xml:space="preserve"> </w:t>
      </w:r>
      <w:r w:rsidRPr="000F0835">
        <w:rPr>
          <w:rFonts w:ascii="Arial" w:hAnsi="Arial" w:cs="Arial"/>
          <w:b/>
          <w:bCs/>
          <w:sz w:val="24"/>
          <w:szCs w:val="24"/>
          <w:lang w:val="az-Latn-AZ"/>
        </w:rPr>
        <w:t>artırılı</w:t>
      </w:r>
      <w:r w:rsidR="00EA22F3" w:rsidRPr="000F0835">
        <w:rPr>
          <w:rFonts w:ascii="Arial" w:hAnsi="Arial" w:cs="Arial"/>
          <w:b/>
          <w:bCs/>
          <w:sz w:val="24"/>
          <w:szCs w:val="24"/>
          <w:lang w:val="az-Latn-AZ"/>
        </w:rPr>
        <w:t>b</w:t>
      </w:r>
      <w:r w:rsidRPr="000F0835">
        <w:rPr>
          <w:rFonts w:ascii="Arial" w:hAnsi="Arial" w:cs="Arial"/>
          <w:sz w:val="24"/>
          <w:szCs w:val="24"/>
          <w:lang w:val="az-Latn-AZ"/>
        </w:rPr>
        <w:t>.</w:t>
      </w:r>
    </w:p>
    <w:p w14:paraId="762D6F9F" w14:textId="19F8D32C" w:rsidR="00EB5EA1" w:rsidRPr="001073C1" w:rsidRDefault="00A465B2" w:rsidP="00A465B2">
      <w:pPr>
        <w:pStyle w:val="NoSpacing"/>
        <w:widowControl w:val="0"/>
        <w:spacing w:after="60" w:line="276" w:lineRule="auto"/>
        <w:jc w:val="both"/>
        <w:rPr>
          <w:rFonts w:ascii="Arial" w:hAnsi="Arial" w:cs="Arial"/>
          <w:b/>
          <w:bCs/>
          <w:sz w:val="24"/>
          <w:szCs w:val="24"/>
          <w:lang w:val="az-Latn-AZ"/>
        </w:rPr>
      </w:pPr>
      <w:r w:rsidRPr="001073C1">
        <w:rPr>
          <w:rFonts w:ascii="Arial" w:hAnsi="Arial" w:cs="Arial"/>
          <w:b/>
          <w:bCs/>
          <w:sz w:val="24"/>
          <w:szCs w:val="24"/>
          <w:lang w:val="az-Latn-AZ"/>
        </w:rPr>
        <w:t>Tarif dəyisikliyindən sonra əhali abonentlə</w:t>
      </w:r>
      <w:r w:rsidR="00CA2475">
        <w:rPr>
          <w:rFonts w:ascii="Arial" w:hAnsi="Arial" w:cs="Arial"/>
          <w:b/>
          <w:bCs/>
          <w:sz w:val="24"/>
          <w:szCs w:val="24"/>
          <w:lang w:val="az-Latn-AZ"/>
        </w:rPr>
        <w:t>rinin orta aylı</w:t>
      </w:r>
      <w:r w:rsidRPr="001073C1">
        <w:rPr>
          <w:rFonts w:ascii="Arial" w:hAnsi="Arial" w:cs="Arial"/>
          <w:b/>
          <w:bCs/>
          <w:sz w:val="24"/>
          <w:szCs w:val="24"/>
          <w:lang w:val="az-Latn-AZ"/>
        </w:rPr>
        <w:t>q xərcinin</w:t>
      </w:r>
      <w:r w:rsidR="00EB5EA1" w:rsidRPr="001073C1">
        <w:rPr>
          <w:rFonts w:ascii="Arial" w:hAnsi="Arial" w:cs="Arial"/>
          <w:b/>
          <w:bCs/>
          <w:sz w:val="24"/>
          <w:szCs w:val="24"/>
          <w:lang w:val="az-Latn-AZ"/>
        </w:rPr>
        <w:t xml:space="preserve"> aşağıdakı kimi artması gözlənilir.</w:t>
      </w:r>
    </w:p>
    <w:p w14:paraId="4621AEE3" w14:textId="77777777" w:rsidR="00EB5EA1" w:rsidRPr="000F0835" w:rsidRDefault="00A465B2" w:rsidP="00EB5EA1">
      <w:pPr>
        <w:pStyle w:val="NoSpacing"/>
        <w:widowControl w:val="0"/>
        <w:numPr>
          <w:ilvl w:val="0"/>
          <w:numId w:val="11"/>
        </w:numPr>
        <w:spacing w:after="60" w:line="276" w:lineRule="auto"/>
        <w:jc w:val="both"/>
        <w:rPr>
          <w:rFonts w:ascii="Arial" w:hAnsi="Arial" w:cs="Arial"/>
          <w:sz w:val="24"/>
          <w:szCs w:val="24"/>
          <w:lang w:val="az-Latn-AZ"/>
        </w:rPr>
      </w:pPr>
      <w:r w:rsidRPr="000F0835">
        <w:rPr>
          <w:rFonts w:ascii="Arial" w:hAnsi="Arial" w:cs="Arial"/>
          <w:b/>
          <w:bCs/>
          <w:sz w:val="24"/>
          <w:szCs w:val="24"/>
          <w:lang w:val="az-Latn-AZ"/>
        </w:rPr>
        <w:t>48%</w:t>
      </w:r>
      <w:r w:rsidRPr="000F0835">
        <w:rPr>
          <w:rFonts w:ascii="Arial" w:hAnsi="Arial" w:cs="Arial"/>
          <w:sz w:val="24"/>
          <w:szCs w:val="24"/>
          <w:lang w:val="az-Latn-AZ"/>
        </w:rPr>
        <w:t xml:space="preserve"> </w:t>
      </w:r>
      <w:r w:rsidRPr="000F0835">
        <w:rPr>
          <w:rFonts w:ascii="Arial" w:hAnsi="Arial" w:cs="Arial"/>
          <w:b/>
          <w:bCs/>
          <w:sz w:val="24"/>
          <w:szCs w:val="24"/>
          <w:lang w:val="az-Latn-AZ"/>
        </w:rPr>
        <w:t>abonent</w:t>
      </w:r>
      <w:r w:rsidRPr="000F0835">
        <w:rPr>
          <w:rFonts w:ascii="Arial" w:hAnsi="Arial" w:cs="Arial"/>
          <w:sz w:val="24"/>
          <w:szCs w:val="24"/>
          <w:lang w:val="az-Latn-AZ"/>
        </w:rPr>
        <w:t xml:space="preserve"> üzrə</w:t>
      </w:r>
      <w:r w:rsidR="00EB5EA1" w:rsidRPr="000F0835">
        <w:rPr>
          <w:rFonts w:ascii="Arial" w:hAnsi="Arial" w:cs="Arial"/>
          <w:sz w:val="24"/>
          <w:szCs w:val="24"/>
          <w:lang w:val="az-Latn-AZ"/>
        </w:rPr>
        <w:t xml:space="preserve"> -</w:t>
      </w:r>
      <w:r w:rsidRPr="000F0835">
        <w:rPr>
          <w:rFonts w:ascii="Arial" w:hAnsi="Arial" w:cs="Arial"/>
          <w:sz w:val="24"/>
          <w:szCs w:val="24"/>
          <w:lang w:val="az-Latn-AZ"/>
        </w:rPr>
        <w:t xml:space="preserve"> </w:t>
      </w:r>
      <w:r w:rsidRPr="000F0835">
        <w:rPr>
          <w:rFonts w:ascii="Arial" w:hAnsi="Arial" w:cs="Arial"/>
          <w:b/>
          <w:bCs/>
          <w:sz w:val="24"/>
          <w:szCs w:val="24"/>
          <w:lang w:val="az-Latn-AZ"/>
        </w:rPr>
        <w:t>32 qəpik</w:t>
      </w:r>
      <w:r w:rsidRPr="000F0835">
        <w:rPr>
          <w:rFonts w:ascii="Arial" w:hAnsi="Arial" w:cs="Arial"/>
          <w:sz w:val="24"/>
          <w:szCs w:val="24"/>
          <w:lang w:val="az-Latn-AZ"/>
        </w:rPr>
        <w:t>,</w:t>
      </w:r>
    </w:p>
    <w:p w14:paraId="57E1DEDB" w14:textId="77777777" w:rsidR="00EB5EA1" w:rsidRPr="000F0835" w:rsidRDefault="00A465B2" w:rsidP="00EB5EA1">
      <w:pPr>
        <w:pStyle w:val="NoSpacing"/>
        <w:widowControl w:val="0"/>
        <w:numPr>
          <w:ilvl w:val="0"/>
          <w:numId w:val="11"/>
        </w:numPr>
        <w:spacing w:after="60" w:line="276" w:lineRule="auto"/>
        <w:jc w:val="both"/>
        <w:rPr>
          <w:rFonts w:ascii="Arial" w:hAnsi="Arial" w:cs="Arial"/>
          <w:sz w:val="24"/>
          <w:szCs w:val="24"/>
          <w:lang w:val="az-Latn-AZ"/>
        </w:rPr>
      </w:pPr>
      <w:r w:rsidRPr="000F0835">
        <w:rPr>
          <w:rFonts w:ascii="Arial" w:hAnsi="Arial" w:cs="Arial"/>
          <w:b/>
          <w:bCs/>
          <w:sz w:val="24"/>
          <w:szCs w:val="24"/>
          <w:lang w:val="az-Latn-AZ"/>
        </w:rPr>
        <w:t>39% abonent</w:t>
      </w:r>
      <w:r w:rsidRPr="000F0835">
        <w:rPr>
          <w:rFonts w:ascii="Arial" w:hAnsi="Arial" w:cs="Arial"/>
          <w:sz w:val="24"/>
          <w:szCs w:val="24"/>
          <w:lang w:val="az-Latn-AZ"/>
        </w:rPr>
        <w:t xml:space="preserve"> üzrə</w:t>
      </w:r>
      <w:r w:rsidR="00EB5EA1" w:rsidRPr="000F0835">
        <w:rPr>
          <w:rFonts w:ascii="Arial" w:hAnsi="Arial" w:cs="Arial"/>
          <w:sz w:val="24"/>
          <w:szCs w:val="24"/>
          <w:lang w:val="az-Latn-AZ"/>
        </w:rPr>
        <w:t xml:space="preserve"> - </w:t>
      </w:r>
      <w:r w:rsidRPr="000F0835">
        <w:rPr>
          <w:rFonts w:ascii="Arial" w:hAnsi="Arial" w:cs="Arial"/>
          <w:b/>
          <w:bCs/>
          <w:sz w:val="24"/>
          <w:szCs w:val="24"/>
          <w:lang w:val="az-Latn-AZ"/>
        </w:rPr>
        <w:t>1 manat 43 qəpik</w:t>
      </w:r>
      <w:r w:rsidRPr="000F0835">
        <w:rPr>
          <w:rFonts w:ascii="Arial" w:hAnsi="Arial" w:cs="Arial"/>
          <w:sz w:val="24"/>
          <w:szCs w:val="24"/>
          <w:lang w:val="az-Latn-AZ"/>
        </w:rPr>
        <w:t xml:space="preserve">, </w:t>
      </w:r>
    </w:p>
    <w:p w14:paraId="06C1EF4D" w14:textId="7D8FDE3F" w:rsidR="00A465B2" w:rsidRPr="000F0835" w:rsidRDefault="00A465B2" w:rsidP="00EB5EA1">
      <w:pPr>
        <w:pStyle w:val="NoSpacing"/>
        <w:widowControl w:val="0"/>
        <w:numPr>
          <w:ilvl w:val="0"/>
          <w:numId w:val="11"/>
        </w:numPr>
        <w:spacing w:after="60" w:line="276" w:lineRule="auto"/>
        <w:jc w:val="both"/>
        <w:rPr>
          <w:rFonts w:ascii="Arial" w:hAnsi="Arial" w:cs="Arial"/>
          <w:sz w:val="24"/>
          <w:szCs w:val="24"/>
          <w:lang w:val="az-Latn-AZ"/>
        </w:rPr>
      </w:pPr>
      <w:r w:rsidRPr="000F0835">
        <w:rPr>
          <w:rFonts w:ascii="Arial" w:hAnsi="Arial" w:cs="Arial"/>
          <w:b/>
          <w:bCs/>
          <w:sz w:val="24"/>
          <w:szCs w:val="24"/>
          <w:lang w:val="az-Latn-AZ"/>
        </w:rPr>
        <w:t>13% abonent</w:t>
      </w:r>
      <w:r w:rsidR="00EB5EA1" w:rsidRPr="000F0835">
        <w:rPr>
          <w:rFonts w:ascii="Arial" w:hAnsi="Arial" w:cs="Arial"/>
          <w:b/>
          <w:bCs/>
          <w:sz w:val="24"/>
          <w:szCs w:val="24"/>
          <w:lang w:val="az-Latn-AZ"/>
        </w:rPr>
        <w:t xml:space="preserve"> </w:t>
      </w:r>
      <w:r w:rsidR="00EB5EA1" w:rsidRPr="009A4FF7">
        <w:rPr>
          <w:rFonts w:ascii="Arial" w:hAnsi="Arial" w:cs="Arial"/>
          <w:sz w:val="24"/>
          <w:szCs w:val="24"/>
          <w:lang w:val="az-Latn-AZ"/>
        </w:rPr>
        <w:t>(</w:t>
      </w:r>
      <w:r w:rsidR="00EB5EA1" w:rsidRPr="000F0835">
        <w:rPr>
          <w:rFonts w:ascii="Arial" w:hAnsi="Arial" w:cs="Arial"/>
          <w:sz w:val="24"/>
          <w:szCs w:val="24"/>
          <w:lang w:val="az-Latn-AZ"/>
        </w:rPr>
        <w:t>daha çox istehlak edən)</w:t>
      </w:r>
      <w:r w:rsidRPr="000F0835">
        <w:rPr>
          <w:rFonts w:ascii="Arial" w:hAnsi="Arial" w:cs="Arial"/>
          <w:sz w:val="24"/>
          <w:szCs w:val="24"/>
          <w:lang w:val="az-Latn-AZ"/>
        </w:rPr>
        <w:t xml:space="preserve"> üzrə </w:t>
      </w:r>
      <w:r w:rsidR="00EB5EA1" w:rsidRPr="000F0835">
        <w:rPr>
          <w:rFonts w:ascii="Arial" w:hAnsi="Arial" w:cs="Arial"/>
          <w:sz w:val="24"/>
          <w:szCs w:val="24"/>
          <w:lang w:val="az-Latn-AZ"/>
        </w:rPr>
        <w:t>-</w:t>
      </w:r>
      <w:r w:rsidRPr="000F0835">
        <w:rPr>
          <w:rFonts w:ascii="Arial" w:hAnsi="Arial" w:cs="Arial"/>
          <w:b/>
          <w:bCs/>
          <w:sz w:val="24"/>
          <w:szCs w:val="24"/>
          <w:lang w:val="az-Latn-AZ"/>
        </w:rPr>
        <w:t xml:space="preserve"> 7 manat 46 qəpik</w:t>
      </w:r>
      <w:r w:rsidR="00EB5EA1" w:rsidRPr="000F0835">
        <w:rPr>
          <w:rFonts w:ascii="Arial" w:hAnsi="Arial" w:cs="Arial"/>
          <w:sz w:val="24"/>
          <w:szCs w:val="24"/>
          <w:lang w:val="az-Latn-AZ"/>
        </w:rPr>
        <w:t>.</w:t>
      </w:r>
    </w:p>
    <w:p w14:paraId="134E1F09" w14:textId="36A307A7" w:rsidR="00EB5EA1" w:rsidRPr="00B249A9" w:rsidRDefault="00EB5EA1" w:rsidP="00EB5EA1">
      <w:pPr>
        <w:pStyle w:val="NoSpacing"/>
        <w:widowControl w:val="0"/>
        <w:spacing w:after="60" w:line="276" w:lineRule="auto"/>
        <w:jc w:val="both"/>
        <w:rPr>
          <w:rFonts w:ascii="Arial" w:hAnsi="Arial" w:cs="Arial"/>
          <w:b/>
          <w:bCs/>
          <w:sz w:val="24"/>
          <w:szCs w:val="24"/>
          <w:lang w:val="az-Latn-AZ"/>
        </w:rPr>
      </w:pPr>
      <w:r w:rsidRPr="00B249A9">
        <w:rPr>
          <w:rFonts w:ascii="Arial" w:hAnsi="Arial" w:cs="Arial"/>
          <w:b/>
          <w:bCs/>
          <w:sz w:val="24"/>
          <w:szCs w:val="24"/>
          <w:lang w:val="az-Latn-AZ"/>
        </w:rPr>
        <w:t>Göründüyü kimi</w:t>
      </w:r>
      <w:r w:rsidR="00C47F9E" w:rsidRPr="00B249A9">
        <w:rPr>
          <w:rFonts w:ascii="Arial" w:hAnsi="Arial" w:cs="Arial"/>
          <w:b/>
          <w:bCs/>
          <w:sz w:val="24"/>
          <w:szCs w:val="24"/>
          <w:lang w:val="az-Latn-AZ"/>
        </w:rPr>
        <w:t>,</w:t>
      </w:r>
      <w:r w:rsidRPr="00B249A9">
        <w:rPr>
          <w:rFonts w:ascii="Arial" w:hAnsi="Arial" w:cs="Arial"/>
          <w:b/>
          <w:bCs/>
          <w:sz w:val="24"/>
          <w:szCs w:val="24"/>
          <w:lang w:val="az-Latn-AZ"/>
        </w:rPr>
        <w:t xml:space="preserve"> əhalinin 48%-i üçün 1 kub metr təbii qazın tarifi</w:t>
      </w:r>
      <w:r w:rsidR="003B7BAA" w:rsidRPr="00B249A9">
        <w:rPr>
          <w:rFonts w:ascii="Arial" w:hAnsi="Arial" w:cs="Arial"/>
          <w:b/>
          <w:bCs/>
          <w:sz w:val="24"/>
          <w:szCs w:val="24"/>
          <w:lang w:val="az-Latn-AZ"/>
        </w:rPr>
        <w:t xml:space="preserve"> maksimum aşağı səviyyədə -</w:t>
      </w:r>
      <w:r w:rsidRPr="00B249A9">
        <w:rPr>
          <w:rFonts w:ascii="Arial" w:hAnsi="Arial" w:cs="Arial"/>
          <w:b/>
          <w:bCs/>
          <w:sz w:val="24"/>
          <w:szCs w:val="24"/>
          <w:lang w:val="az-Latn-AZ"/>
        </w:rPr>
        <w:t xml:space="preserve"> 0,5 qəpik (yarım qəpik</w:t>
      </w:r>
      <w:r w:rsidR="00887F1F" w:rsidRPr="00B249A9">
        <w:rPr>
          <w:rFonts w:ascii="Arial" w:hAnsi="Arial" w:cs="Arial"/>
          <w:b/>
          <w:bCs/>
          <w:sz w:val="24"/>
          <w:szCs w:val="24"/>
          <w:lang w:val="az-Latn-AZ"/>
        </w:rPr>
        <w:t>, 4,2</w:t>
      </w:r>
      <w:r w:rsidR="00C47F9E" w:rsidRPr="00B249A9">
        <w:rPr>
          <w:rFonts w:ascii="Arial" w:hAnsi="Arial" w:cs="Arial"/>
          <w:b/>
          <w:bCs/>
          <w:sz w:val="24"/>
          <w:szCs w:val="24"/>
          <w:lang w:val="az-Latn-AZ"/>
        </w:rPr>
        <w:t>%</w:t>
      </w:r>
      <w:r w:rsidRPr="00B249A9">
        <w:rPr>
          <w:rFonts w:ascii="Arial" w:hAnsi="Arial" w:cs="Arial"/>
          <w:b/>
          <w:bCs/>
          <w:sz w:val="24"/>
          <w:szCs w:val="24"/>
          <w:lang w:val="az-Latn-AZ"/>
        </w:rPr>
        <w:t>) artırılıb.</w:t>
      </w:r>
    </w:p>
    <w:p w14:paraId="359B601F" w14:textId="0E21806D" w:rsidR="0030638E" w:rsidRPr="000F0835" w:rsidRDefault="008E1DA5"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b/>
          <w:bCs/>
          <w:sz w:val="24"/>
          <w:szCs w:val="24"/>
          <w:lang w:val="az-Latn-AZ"/>
        </w:rPr>
        <w:t>E</w:t>
      </w:r>
      <w:r w:rsidR="00CA4DAC" w:rsidRPr="000F0835">
        <w:rPr>
          <w:rFonts w:ascii="Arial" w:hAnsi="Arial" w:cs="Arial"/>
          <w:b/>
          <w:bCs/>
          <w:sz w:val="24"/>
          <w:szCs w:val="24"/>
          <w:lang w:val="az-Latn-AZ"/>
        </w:rPr>
        <w:t>lektrik istehsalı</w:t>
      </w:r>
      <w:r w:rsidR="00D81E04" w:rsidRPr="000F0835">
        <w:rPr>
          <w:rFonts w:ascii="Arial" w:hAnsi="Arial" w:cs="Arial"/>
          <w:b/>
          <w:bCs/>
          <w:sz w:val="24"/>
          <w:szCs w:val="24"/>
          <w:lang w:val="az-Latn-AZ"/>
        </w:rPr>
        <w:t>nda</w:t>
      </w:r>
      <w:r w:rsidR="00D81E04" w:rsidRPr="000F0835">
        <w:rPr>
          <w:rFonts w:ascii="Arial" w:hAnsi="Arial" w:cs="Arial"/>
          <w:sz w:val="24"/>
          <w:szCs w:val="24"/>
          <w:lang w:val="az-Latn-AZ"/>
        </w:rPr>
        <w:t xml:space="preserve"> istifadə olunan</w:t>
      </w:r>
      <w:r w:rsidR="00CA4DAC" w:rsidRPr="000F0835">
        <w:rPr>
          <w:rFonts w:ascii="Arial" w:hAnsi="Arial" w:cs="Arial"/>
          <w:sz w:val="24"/>
          <w:szCs w:val="24"/>
          <w:lang w:val="az-Latn-AZ"/>
        </w:rPr>
        <w:t xml:space="preserve"> təbii qazın </w:t>
      </w:r>
      <w:r w:rsidR="0011427F" w:rsidRPr="000F0835">
        <w:rPr>
          <w:rFonts w:ascii="Arial" w:hAnsi="Arial" w:cs="Arial"/>
          <w:sz w:val="24"/>
          <w:szCs w:val="24"/>
          <w:lang w:val="az-Latn-AZ"/>
        </w:rPr>
        <w:t>tarifi</w:t>
      </w:r>
      <w:r w:rsidR="007A63E6" w:rsidRPr="000F0835">
        <w:rPr>
          <w:rFonts w:ascii="Arial" w:hAnsi="Arial" w:cs="Arial"/>
          <w:sz w:val="24"/>
          <w:szCs w:val="24"/>
          <w:lang w:val="az-Latn-AZ"/>
        </w:rPr>
        <w:t xml:space="preserve"> </w:t>
      </w:r>
      <w:r w:rsidR="0011427F" w:rsidRPr="000F0835">
        <w:rPr>
          <w:rFonts w:ascii="Arial" w:hAnsi="Arial" w:cs="Arial"/>
          <w:b/>
          <w:bCs/>
          <w:sz w:val="24"/>
          <w:szCs w:val="24"/>
          <w:lang w:val="az-Latn-AZ"/>
        </w:rPr>
        <w:t>2 qəpik</w:t>
      </w:r>
      <w:r w:rsidR="00C47F9E" w:rsidRPr="000F0835">
        <w:rPr>
          <w:rFonts w:ascii="Arial" w:hAnsi="Arial" w:cs="Arial"/>
          <w:b/>
          <w:bCs/>
          <w:sz w:val="24"/>
          <w:szCs w:val="24"/>
          <w:lang w:val="az-Latn-AZ"/>
        </w:rPr>
        <w:t xml:space="preserve"> </w:t>
      </w:r>
      <w:r w:rsidR="00887F1F" w:rsidRPr="00B249A9">
        <w:rPr>
          <w:rFonts w:ascii="Arial" w:hAnsi="Arial" w:cs="Arial"/>
          <w:sz w:val="24"/>
          <w:szCs w:val="24"/>
          <w:lang w:val="az-Latn-AZ"/>
        </w:rPr>
        <w:t>(12,1</w:t>
      </w:r>
      <w:r w:rsidR="00C47F9E" w:rsidRPr="00B249A9">
        <w:rPr>
          <w:rFonts w:ascii="Arial" w:hAnsi="Arial" w:cs="Arial"/>
          <w:sz w:val="24"/>
          <w:szCs w:val="24"/>
          <w:lang w:val="az-Latn-AZ"/>
        </w:rPr>
        <w:t>%)</w:t>
      </w:r>
      <w:r w:rsidR="0011427F" w:rsidRPr="00B249A9">
        <w:rPr>
          <w:rFonts w:ascii="Arial" w:hAnsi="Arial" w:cs="Arial"/>
          <w:sz w:val="24"/>
          <w:szCs w:val="24"/>
          <w:lang w:val="az-Latn-AZ"/>
        </w:rPr>
        <w:t xml:space="preserve"> artırılaraq</w:t>
      </w:r>
      <w:r w:rsidR="00EA22F3" w:rsidRPr="000F0835">
        <w:rPr>
          <w:rFonts w:ascii="Arial" w:hAnsi="Arial" w:cs="Arial"/>
          <w:sz w:val="24"/>
          <w:szCs w:val="24"/>
          <w:lang w:val="az-Latn-AZ"/>
        </w:rPr>
        <w:t xml:space="preserve"> 16,5 qəpikdən</w:t>
      </w:r>
      <w:r w:rsidR="0011427F" w:rsidRPr="000F0835">
        <w:rPr>
          <w:rFonts w:ascii="Arial" w:hAnsi="Arial" w:cs="Arial"/>
          <w:sz w:val="24"/>
          <w:szCs w:val="24"/>
          <w:lang w:val="az-Latn-AZ"/>
        </w:rPr>
        <w:t xml:space="preserve"> </w:t>
      </w:r>
      <w:r w:rsidR="0011427F" w:rsidRPr="000F0835">
        <w:rPr>
          <w:rFonts w:ascii="Arial" w:hAnsi="Arial" w:cs="Arial"/>
          <w:b/>
          <w:bCs/>
          <w:sz w:val="24"/>
          <w:szCs w:val="24"/>
          <w:lang w:val="az-Latn-AZ"/>
        </w:rPr>
        <w:t>18,5 qəpik</w:t>
      </w:r>
      <w:r w:rsidR="00EA22F3" w:rsidRPr="000F0835">
        <w:rPr>
          <w:rFonts w:ascii="Arial" w:hAnsi="Arial" w:cs="Arial"/>
          <w:sz w:val="24"/>
          <w:szCs w:val="24"/>
          <w:lang w:val="az-Latn-AZ"/>
        </w:rPr>
        <w:t xml:space="preserve"> səviyyəsində</w:t>
      </w:r>
      <w:r w:rsidR="0011427F" w:rsidRPr="000F0835">
        <w:rPr>
          <w:rFonts w:ascii="Arial" w:hAnsi="Arial" w:cs="Arial"/>
          <w:sz w:val="24"/>
          <w:szCs w:val="24"/>
          <w:lang w:val="az-Latn-AZ"/>
        </w:rPr>
        <w:t xml:space="preserve">, </w:t>
      </w:r>
      <w:r w:rsidR="00090D40" w:rsidRPr="000F0835">
        <w:rPr>
          <w:rFonts w:ascii="Arial" w:hAnsi="Arial" w:cs="Arial"/>
          <w:b/>
          <w:bCs/>
          <w:sz w:val="24"/>
          <w:szCs w:val="24"/>
          <w:lang w:val="az-Latn-AZ"/>
        </w:rPr>
        <w:t>s</w:t>
      </w:r>
      <w:r w:rsidR="00CA4DAC" w:rsidRPr="000F0835">
        <w:rPr>
          <w:rFonts w:ascii="Arial" w:hAnsi="Arial" w:cs="Arial"/>
          <w:b/>
          <w:bCs/>
          <w:sz w:val="24"/>
          <w:szCs w:val="24"/>
          <w:lang w:val="az-Latn-AZ"/>
        </w:rPr>
        <w:t xml:space="preserve">ənaye və kənd təsərrüfatı sahələri üzrə </w:t>
      </w:r>
      <w:r w:rsidR="00D72BC2" w:rsidRPr="000F0835">
        <w:rPr>
          <w:rFonts w:ascii="Arial" w:hAnsi="Arial" w:cs="Arial"/>
          <w:b/>
          <w:bCs/>
          <w:sz w:val="24"/>
          <w:szCs w:val="24"/>
          <w:lang w:val="az-Latn-AZ"/>
        </w:rPr>
        <w:t>1 kub metr</w:t>
      </w:r>
      <w:r w:rsidR="00D72BC2" w:rsidRPr="000F0835">
        <w:rPr>
          <w:rFonts w:ascii="Arial" w:hAnsi="Arial" w:cs="Arial"/>
          <w:sz w:val="24"/>
          <w:szCs w:val="24"/>
          <w:lang w:val="az-Latn-AZ"/>
        </w:rPr>
        <w:t xml:space="preserve"> tə</w:t>
      </w:r>
      <w:r w:rsidR="00CA4DAC" w:rsidRPr="000F0835">
        <w:rPr>
          <w:rFonts w:ascii="Arial" w:hAnsi="Arial" w:cs="Arial"/>
          <w:sz w:val="24"/>
          <w:szCs w:val="24"/>
          <w:lang w:val="az-Latn-AZ"/>
        </w:rPr>
        <w:t>bii qazın</w:t>
      </w:r>
      <w:r w:rsidR="00D72BC2" w:rsidRPr="000F0835">
        <w:rPr>
          <w:rFonts w:ascii="Arial" w:hAnsi="Arial" w:cs="Arial"/>
          <w:sz w:val="24"/>
          <w:szCs w:val="24"/>
          <w:lang w:val="az-Latn-AZ"/>
        </w:rPr>
        <w:t xml:space="preserve"> tarifi </w:t>
      </w:r>
      <w:r w:rsidR="00CA4DAC" w:rsidRPr="000F0835">
        <w:rPr>
          <w:rFonts w:ascii="Arial" w:hAnsi="Arial" w:cs="Arial"/>
          <w:b/>
          <w:bCs/>
          <w:sz w:val="24"/>
          <w:szCs w:val="24"/>
          <w:lang w:val="az-Latn-AZ"/>
        </w:rPr>
        <w:t>2 qəpik</w:t>
      </w:r>
      <w:r w:rsidR="00C47F9E" w:rsidRPr="000F0835">
        <w:rPr>
          <w:rFonts w:ascii="Arial" w:hAnsi="Arial" w:cs="Arial"/>
          <w:b/>
          <w:bCs/>
          <w:sz w:val="24"/>
          <w:szCs w:val="24"/>
          <w:lang w:val="az-Latn-AZ"/>
        </w:rPr>
        <w:t xml:space="preserve"> </w:t>
      </w:r>
      <w:r w:rsidR="00887F1F" w:rsidRPr="00B249A9">
        <w:rPr>
          <w:rFonts w:ascii="Arial" w:hAnsi="Arial" w:cs="Arial"/>
          <w:sz w:val="24"/>
          <w:szCs w:val="24"/>
          <w:lang w:val="az-Latn-AZ"/>
        </w:rPr>
        <w:t>(9</w:t>
      </w:r>
      <w:r w:rsidR="00C47F9E" w:rsidRPr="00B249A9">
        <w:rPr>
          <w:rFonts w:ascii="Arial" w:hAnsi="Arial" w:cs="Arial"/>
          <w:sz w:val="24"/>
          <w:szCs w:val="24"/>
          <w:lang w:val="az-Latn-AZ"/>
        </w:rPr>
        <w:t>%)</w:t>
      </w:r>
      <w:r w:rsidR="00CA4DAC" w:rsidRPr="000F0835">
        <w:rPr>
          <w:rFonts w:ascii="Arial" w:hAnsi="Arial" w:cs="Arial"/>
          <w:sz w:val="24"/>
          <w:szCs w:val="24"/>
          <w:lang w:val="az-Latn-AZ"/>
        </w:rPr>
        <w:t xml:space="preserve"> </w:t>
      </w:r>
      <w:r w:rsidR="004154D3" w:rsidRPr="000F0835">
        <w:rPr>
          <w:rFonts w:ascii="Arial" w:hAnsi="Arial" w:cs="Arial"/>
          <w:b/>
          <w:sz w:val="24"/>
          <w:szCs w:val="24"/>
          <w:lang w:val="az-Latn-AZ"/>
        </w:rPr>
        <w:t>artırılaraq</w:t>
      </w:r>
      <w:r w:rsidR="00EA22F3" w:rsidRPr="000F0835">
        <w:rPr>
          <w:rFonts w:ascii="Arial" w:hAnsi="Arial" w:cs="Arial"/>
          <w:sz w:val="24"/>
          <w:szCs w:val="24"/>
          <w:lang w:val="az-Latn-AZ"/>
        </w:rPr>
        <w:t xml:space="preserve"> 22 qəpikdən</w:t>
      </w:r>
      <w:r w:rsidR="00CA4DAC" w:rsidRPr="000F0835">
        <w:rPr>
          <w:rFonts w:ascii="Arial" w:hAnsi="Arial" w:cs="Arial"/>
          <w:sz w:val="24"/>
          <w:szCs w:val="24"/>
          <w:lang w:val="az-Latn-AZ"/>
        </w:rPr>
        <w:t xml:space="preserve"> </w:t>
      </w:r>
      <w:r w:rsidR="00CA4DAC" w:rsidRPr="000F0835">
        <w:rPr>
          <w:rFonts w:ascii="Arial" w:hAnsi="Arial" w:cs="Arial"/>
          <w:b/>
          <w:bCs/>
          <w:sz w:val="24"/>
          <w:szCs w:val="24"/>
          <w:lang w:val="az-Latn-AZ"/>
        </w:rPr>
        <w:t>24 qəpik</w:t>
      </w:r>
      <w:r w:rsidR="00EA22F3" w:rsidRPr="000F0835">
        <w:rPr>
          <w:rFonts w:ascii="Arial" w:hAnsi="Arial" w:cs="Arial"/>
          <w:sz w:val="24"/>
          <w:szCs w:val="24"/>
          <w:lang w:val="az-Latn-AZ"/>
        </w:rPr>
        <w:t xml:space="preserve"> həddində</w:t>
      </w:r>
      <w:r w:rsidR="00CA4DAC" w:rsidRPr="000F0835">
        <w:rPr>
          <w:rFonts w:ascii="Arial" w:hAnsi="Arial" w:cs="Arial"/>
          <w:sz w:val="24"/>
          <w:szCs w:val="24"/>
          <w:lang w:val="az-Latn-AZ"/>
        </w:rPr>
        <w:t xml:space="preserve"> müəyyənlə</w:t>
      </w:r>
      <w:r w:rsidR="0011427F" w:rsidRPr="000F0835">
        <w:rPr>
          <w:rFonts w:ascii="Arial" w:hAnsi="Arial" w:cs="Arial"/>
          <w:sz w:val="24"/>
          <w:szCs w:val="24"/>
          <w:lang w:val="az-Latn-AZ"/>
        </w:rPr>
        <w:t>şdiril</w:t>
      </w:r>
      <w:r w:rsidR="00D81E04" w:rsidRPr="000F0835">
        <w:rPr>
          <w:rFonts w:ascii="Arial" w:hAnsi="Arial" w:cs="Arial"/>
          <w:sz w:val="24"/>
          <w:szCs w:val="24"/>
          <w:lang w:val="az-Latn-AZ"/>
        </w:rPr>
        <w:t>ib.</w:t>
      </w:r>
    </w:p>
    <w:p w14:paraId="0B976582" w14:textId="4204C9E1" w:rsidR="005B41B5" w:rsidRPr="000F0835" w:rsidRDefault="005B41B5" w:rsidP="00004A35">
      <w:pPr>
        <w:pStyle w:val="NoSpacing"/>
        <w:widowControl w:val="0"/>
        <w:spacing w:after="60" w:line="276" w:lineRule="auto"/>
        <w:jc w:val="both"/>
        <w:rPr>
          <w:rFonts w:ascii="Arial" w:hAnsi="Arial" w:cs="Arial"/>
          <w:b/>
          <w:sz w:val="24"/>
          <w:szCs w:val="24"/>
          <w:lang w:val="az-Latn-AZ"/>
        </w:rPr>
      </w:pPr>
    </w:p>
    <w:p w14:paraId="588E2600" w14:textId="4A1DF009" w:rsidR="00D81E04" w:rsidRPr="000F0835" w:rsidRDefault="00D81E04" w:rsidP="00004A35">
      <w:pPr>
        <w:pStyle w:val="NoSpacing"/>
        <w:widowControl w:val="0"/>
        <w:spacing w:after="60" w:line="276" w:lineRule="auto"/>
        <w:jc w:val="both"/>
        <w:rPr>
          <w:rFonts w:ascii="Arial" w:hAnsi="Arial" w:cs="Arial"/>
          <w:b/>
          <w:sz w:val="24"/>
          <w:szCs w:val="24"/>
          <w:u w:val="single"/>
          <w:lang w:val="az-Latn-AZ"/>
        </w:rPr>
      </w:pPr>
      <w:r w:rsidRPr="000F0835">
        <w:rPr>
          <w:rFonts w:ascii="Arial" w:hAnsi="Arial" w:cs="Arial"/>
          <w:b/>
          <w:sz w:val="24"/>
          <w:szCs w:val="24"/>
          <w:u w:val="single"/>
          <w:lang w:val="az-Latn-AZ"/>
        </w:rPr>
        <w:t>Elektrik enerjisi tarifləri</w:t>
      </w:r>
      <w:r w:rsidR="005B41B5" w:rsidRPr="000F0835">
        <w:rPr>
          <w:rFonts w:ascii="Arial" w:hAnsi="Arial" w:cs="Arial"/>
          <w:b/>
          <w:sz w:val="24"/>
          <w:szCs w:val="24"/>
          <w:u w:val="single"/>
          <w:lang w:val="az-Latn-AZ"/>
        </w:rPr>
        <w:t>:</w:t>
      </w:r>
    </w:p>
    <w:p w14:paraId="129F8F01" w14:textId="3F7AB983" w:rsidR="00A726E6" w:rsidRPr="000F0835" w:rsidRDefault="008F305F"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T</w:t>
      </w:r>
      <w:r w:rsidR="00882022" w:rsidRPr="000F0835">
        <w:rPr>
          <w:rFonts w:ascii="Arial" w:hAnsi="Arial" w:cs="Arial"/>
          <w:sz w:val="24"/>
          <w:szCs w:val="24"/>
          <w:lang w:val="az-Latn-AZ"/>
        </w:rPr>
        <w:t>əbii qazın</w:t>
      </w:r>
      <w:r w:rsidR="007E00C3" w:rsidRPr="000F0835">
        <w:rPr>
          <w:rFonts w:ascii="Arial" w:hAnsi="Arial" w:cs="Arial"/>
          <w:sz w:val="24"/>
          <w:szCs w:val="24"/>
          <w:lang w:val="az-Latn-AZ"/>
        </w:rPr>
        <w:t xml:space="preserve"> qiymət artımının</w:t>
      </w:r>
      <w:r w:rsidR="00932942" w:rsidRPr="000F0835">
        <w:rPr>
          <w:rFonts w:ascii="Arial" w:hAnsi="Arial" w:cs="Arial"/>
          <w:sz w:val="24"/>
          <w:szCs w:val="24"/>
          <w:lang w:val="az-Latn-AZ"/>
        </w:rPr>
        <w:t xml:space="preserve"> </w:t>
      </w:r>
      <w:r w:rsidRPr="000F0835">
        <w:rPr>
          <w:rFonts w:ascii="Arial" w:hAnsi="Arial" w:cs="Arial"/>
          <w:sz w:val="24"/>
          <w:szCs w:val="24"/>
          <w:lang w:val="az-Latn-AZ"/>
        </w:rPr>
        <w:t xml:space="preserve">elektrik enerjisinin </w:t>
      </w:r>
      <w:r w:rsidR="0011427F" w:rsidRPr="000F0835">
        <w:rPr>
          <w:rFonts w:ascii="Arial" w:hAnsi="Arial" w:cs="Arial"/>
          <w:sz w:val="24"/>
          <w:szCs w:val="24"/>
          <w:lang w:val="az-Latn-AZ"/>
        </w:rPr>
        <w:t>istehsal</w:t>
      </w:r>
      <w:r w:rsidR="00932942" w:rsidRPr="000F0835">
        <w:rPr>
          <w:rFonts w:ascii="Arial" w:hAnsi="Arial" w:cs="Arial"/>
          <w:sz w:val="24"/>
          <w:szCs w:val="24"/>
          <w:lang w:val="az-Latn-AZ"/>
        </w:rPr>
        <w:t xml:space="preserve"> xərclərinə tə</w:t>
      </w:r>
      <w:r w:rsidR="0011427F" w:rsidRPr="000F0835">
        <w:rPr>
          <w:rFonts w:ascii="Arial" w:hAnsi="Arial" w:cs="Arial"/>
          <w:sz w:val="24"/>
          <w:szCs w:val="24"/>
          <w:lang w:val="az-Latn-AZ"/>
        </w:rPr>
        <w:t>sir</w:t>
      </w:r>
      <w:r w:rsidR="00A726E6" w:rsidRPr="000F0835">
        <w:rPr>
          <w:rFonts w:ascii="Arial" w:hAnsi="Arial" w:cs="Arial"/>
          <w:sz w:val="24"/>
          <w:szCs w:val="24"/>
          <w:lang w:val="az-Latn-AZ"/>
        </w:rPr>
        <w:t>i və</w:t>
      </w:r>
      <w:r w:rsidR="00EA22F3" w:rsidRPr="000F0835">
        <w:rPr>
          <w:rFonts w:ascii="Arial" w:hAnsi="Arial" w:cs="Arial"/>
          <w:sz w:val="24"/>
          <w:szCs w:val="24"/>
          <w:lang w:val="az-Latn-AZ"/>
        </w:rPr>
        <w:t xml:space="preserve"> bu sahədə xidmətlərin </w:t>
      </w:r>
      <w:r w:rsidR="00A726E6" w:rsidRPr="000F0835">
        <w:rPr>
          <w:rFonts w:ascii="Arial" w:hAnsi="Arial" w:cs="Arial"/>
          <w:sz w:val="24"/>
          <w:szCs w:val="24"/>
          <w:lang w:val="az-Latn-AZ"/>
        </w:rPr>
        <w:t>dayanıqlılığının</w:t>
      </w:r>
      <w:r w:rsidR="00EA22F3" w:rsidRPr="000F0835">
        <w:rPr>
          <w:rFonts w:ascii="Arial" w:hAnsi="Arial" w:cs="Arial"/>
          <w:sz w:val="24"/>
          <w:szCs w:val="24"/>
          <w:lang w:val="az-Latn-AZ"/>
        </w:rPr>
        <w:t xml:space="preserve"> yüksəldilməsi </w:t>
      </w:r>
      <w:r w:rsidR="00A726E6" w:rsidRPr="000F0835">
        <w:rPr>
          <w:rFonts w:ascii="Arial" w:hAnsi="Arial" w:cs="Arial"/>
          <w:sz w:val="24"/>
          <w:szCs w:val="24"/>
          <w:lang w:val="az-Latn-AZ"/>
        </w:rPr>
        <w:t>zərurəti nəzərə alınaraq</w:t>
      </w:r>
      <w:r w:rsidR="00EA22F3" w:rsidRPr="000F0835">
        <w:rPr>
          <w:rFonts w:ascii="Arial" w:hAnsi="Arial" w:cs="Arial"/>
          <w:sz w:val="24"/>
          <w:szCs w:val="24"/>
          <w:lang w:val="az-Latn-AZ"/>
        </w:rPr>
        <w:t xml:space="preserve"> elektrik </w:t>
      </w:r>
      <w:r w:rsidR="0011427F" w:rsidRPr="000F0835">
        <w:rPr>
          <w:rFonts w:ascii="Arial" w:hAnsi="Arial" w:cs="Arial"/>
          <w:sz w:val="24"/>
          <w:szCs w:val="24"/>
          <w:lang w:val="az-Latn-AZ"/>
        </w:rPr>
        <w:t>enerjisi üzrə yeni tariflər müəyyənləşdiril</w:t>
      </w:r>
      <w:r w:rsidRPr="000F0835">
        <w:rPr>
          <w:rFonts w:ascii="Arial" w:hAnsi="Arial" w:cs="Arial"/>
          <w:sz w:val="24"/>
          <w:szCs w:val="24"/>
          <w:lang w:val="az-Latn-AZ"/>
        </w:rPr>
        <w:t xml:space="preserve">ib. </w:t>
      </w:r>
    </w:p>
    <w:p w14:paraId="1D86FF41" w14:textId="47AD2115" w:rsidR="008E1DA5" w:rsidRPr="000F0835" w:rsidRDefault="00252126" w:rsidP="00004A35">
      <w:pPr>
        <w:pStyle w:val="NoSpacing"/>
        <w:widowControl w:val="0"/>
        <w:spacing w:after="60" w:line="276" w:lineRule="auto"/>
        <w:jc w:val="both"/>
        <w:rPr>
          <w:rFonts w:ascii="Arial" w:hAnsi="Arial" w:cs="Arial"/>
          <w:b/>
          <w:bCs/>
          <w:sz w:val="24"/>
          <w:szCs w:val="24"/>
          <w:lang w:val="az-Latn-AZ"/>
        </w:rPr>
      </w:pPr>
      <w:r w:rsidRPr="000F0835">
        <w:rPr>
          <w:rFonts w:ascii="Arial" w:hAnsi="Arial" w:cs="Arial"/>
          <w:b/>
          <w:bCs/>
          <w:sz w:val="24"/>
          <w:szCs w:val="24"/>
          <w:lang w:val="az-Latn-AZ"/>
        </w:rPr>
        <w:t>Ə</w:t>
      </w:r>
      <w:r w:rsidR="0011427F" w:rsidRPr="000F0835">
        <w:rPr>
          <w:rFonts w:ascii="Arial" w:hAnsi="Arial" w:cs="Arial"/>
          <w:b/>
          <w:bCs/>
          <w:sz w:val="24"/>
          <w:szCs w:val="24"/>
          <w:lang w:val="az-Latn-AZ"/>
        </w:rPr>
        <w:t>hali üzrə aylıq istehlak həcmi</w:t>
      </w:r>
      <w:r w:rsidR="008E1DA5" w:rsidRPr="000F0835">
        <w:rPr>
          <w:rFonts w:ascii="Arial" w:hAnsi="Arial" w:cs="Arial"/>
          <w:b/>
          <w:bCs/>
          <w:sz w:val="24"/>
          <w:szCs w:val="24"/>
          <w:lang w:val="az-Latn-AZ"/>
        </w:rPr>
        <w:t>:</w:t>
      </w:r>
    </w:p>
    <w:p w14:paraId="10CE7233" w14:textId="35EB1C4F" w:rsidR="008E1DA5" w:rsidRPr="000F0835" w:rsidRDefault="0011427F" w:rsidP="006801DE">
      <w:pPr>
        <w:pStyle w:val="NoSpacing"/>
        <w:widowControl w:val="0"/>
        <w:numPr>
          <w:ilvl w:val="0"/>
          <w:numId w:val="10"/>
        </w:numPr>
        <w:spacing w:after="60" w:line="276" w:lineRule="auto"/>
        <w:ind w:left="426" w:right="849"/>
        <w:jc w:val="both"/>
        <w:rPr>
          <w:rFonts w:ascii="Arial" w:hAnsi="Arial" w:cs="Arial"/>
          <w:sz w:val="24"/>
          <w:szCs w:val="24"/>
          <w:lang w:val="az-Latn-AZ"/>
        </w:rPr>
      </w:pPr>
      <w:r w:rsidRPr="000F0835">
        <w:rPr>
          <w:rFonts w:ascii="Arial" w:hAnsi="Arial" w:cs="Arial"/>
          <w:b/>
          <w:bCs/>
          <w:sz w:val="24"/>
          <w:szCs w:val="24"/>
          <w:lang w:val="az-Latn-AZ"/>
        </w:rPr>
        <w:t>200 kVts olan hissə üçün 1 k</w:t>
      </w:r>
      <w:r w:rsidR="000211F3" w:rsidRPr="000F0835">
        <w:rPr>
          <w:rFonts w:ascii="Arial" w:hAnsi="Arial" w:cs="Arial"/>
          <w:b/>
          <w:bCs/>
          <w:sz w:val="24"/>
          <w:szCs w:val="24"/>
          <w:lang w:val="az-Latn-AZ"/>
        </w:rPr>
        <w:t>ilovatt</w:t>
      </w:r>
      <w:r w:rsidR="000211F3" w:rsidRPr="000F0835">
        <w:rPr>
          <w:rFonts w:ascii="Arial" w:hAnsi="Arial" w:cs="Arial"/>
          <w:sz w:val="24"/>
          <w:szCs w:val="24"/>
          <w:lang w:val="az-Latn-AZ"/>
        </w:rPr>
        <w:t xml:space="preserve"> saat</w:t>
      </w:r>
      <w:r w:rsidRPr="000F0835">
        <w:rPr>
          <w:rFonts w:ascii="Arial" w:hAnsi="Arial" w:cs="Arial"/>
          <w:sz w:val="24"/>
          <w:szCs w:val="24"/>
          <w:lang w:val="az-Latn-AZ"/>
        </w:rPr>
        <w:t xml:space="preserve"> elektrik enerjisinin tarifi</w:t>
      </w:r>
      <w:r w:rsidR="008F305F" w:rsidRPr="000F0835">
        <w:rPr>
          <w:rFonts w:ascii="Arial" w:hAnsi="Arial" w:cs="Arial"/>
          <w:sz w:val="24"/>
          <w:szCs w:val="24"/>
          <w:lang w:val="az-Latn-AZ"/>
        </w:rPr>
        <w:t xml:space="preserve"> </w:t>
      </w:r>
      <w:r w:rsidR="008F305F" w:rsidRPr="000F0835">
        <w:rPr>
          <w:rFonts w:ascii="Arial" w:hAnsi="Arial" w:cs="Arial"/>
          <w:b/>
          <w:bCs/>
          <w:sz w:val="24"/>
          <w:szCs w:val="24"/>
          <w:lang w:val="az-Latn-AZ"/>
        </w:rPr>
        <w:t>0,4 qəpik</w:t>
      </w:r>
      <w:r w:rsidR="00C47F9E" w:rsidRPr="000F0835">
        <w:rPr>
          <w:rFonts w:ascii="Arial" w:hAnsi="Arial" w:cs="Arial"/>
          <w:b/>
          <w:bCs/>
          <w:sz w:val="24"/>
          <w:szCs w:val="24"/>
          <w:lang w:val="az-Latn-AZ"/>
        </w:rPr>
        <w:t xml:space="preserve"> </w:t>
      </w:r>
      <w:r w:rsidR="00887F1F" w:rsidRPr="00F41D14">
        <w:rPr>
          <w:rFonts w:ascii="Arial" w:hAnsi="Arial" w:cs="Arial"/>
          <w:sz w:val="24"/>
          <w:szCs w:val="24"/>
          <w:lang w:val="az-Latn-AZ"/>
        </w:rPr>
        <w:t>(5</w:t>
      </w:r>
      <w:r w:rsidR="00C47F9E" w:rsidRPr="00F41D14">
        <w:rPr>
          <w:rFonts w:ascii="Arial" w:hAnsi="Arial" w:cs="Arial"/>
          <w:sz w:val="24"/>
          <w:szCs w:val="24"/>
          <w:lang w:val="az-Latn-AZ"/>
        </w:rPr>
        <w:t>%)</w:t>
      </w:r>
      <w:r w:rsidR="008F305F" w:rsidRPr="00F41D14">
        <w:rPr>
          <w:rFonts w:ascii="Arial" w:hAnsi="Arial" w:cs="Arial"/>
          <w:sz w:val="24"/>
          <w:szCs w:val="24"/>
          <w:lang w:val="az-Latn-AZ"/>
        </w:rPr>
        <w:t xml:space="preserve"> </w:t>
      </w:r>
      <w:r w:rsidR="004154D3" w:rsidRPr="00F41D14">
        <w:rPr>
          <w:rFonts w:ascii="Arial" w:hAnsi="Arial" w:cs="Arial"/>
          <w:sz w:val="24"/>
          <w:szCs w:val="24"/>
          <w:lang w:val="az-Latn-AZ"/>
        </w:rPr>
        <w:t>artırılaraq</w:t>
      </w:r>
      <w:r w:rsidRPr="000F0835">
        <w:rPr>
          <w:rFonts w:ascii="Arial" w:hAnsi="Arial" w:cs="Arial"/>
          <w:sz w:val="24"/>
          <w:szCs w:val="24"/>
          <w:lang w:val="az-Latn-AZ"/>
        </w:rPr>
        <w:t xml:space="preserve"> 8 qəpikdən </w:t>
      </w:r>
      <w:r w:rsidRPr="000F0835">
        <w:rPr>
          <w:rFonts w:ascii="Arial" w:hAnsi="Arial" w:cs="Arial"/>
          <w:b/>
          <w:bCs/>
          <w:sz w:val="24"/>
          <w:szCs w:val="24"/>
          <w:lang w:val="az-Latn-AZ"/>
        </w:rPr>
        <w:t>8,4 qəpiyə</w:t>
      </w:r>
      <w:r w:rsidR="008E1DA5" w:rsidRPr="000F0835">
        <w:rPr>
          <w:rFonts w:ascii="Arial" w:hAnsi="Arial" w:cs="Arial"/>
          <w:sz w:val="24"/>
          <w:szCs w:val="24"/>
          <w:lang w:val="az-Latn-AZ"/>
        </w:rPr>
        <w:t>;</w:t>
      </w:r>
    </w:p>
    <w:p w14:paraId="50384A5B" w14:textId="14D9B82F" w:rsidR="008E1DA5" w:rsidRPr="000F0835" w:rsidRDefault="000211F3" w:rsidP="006801DE">
      <w:pPr>
        <w:pStyle w:val="NoSpacing"/>
        <w:widowControl w:val="0"/>
        <w:numPr>
          <w:ilvl w:val="0"/>
          <w:numId w:val="10"/>
        </w:numPr>
        <w:spacing w:after="60" w:line="276" w:lineRule="auto"/>
        <w:ind w:left="426" w:right="849"/>
        <w:jc w:val="both"/>
        <w:rPr>
          <w:rFonts w:ascii="Arial" w:hAnsi="Arial" w:cs="Arial"/>
          <w:sz w:val="24"/>
          <w:szCs w:val="24"/>
          <w:lang w:val="az-Latn-AZ"/>
        </w:rPr>
      </w:pPr>
      <w:r w:rsidRPr="000F0835">
        <w:rPr>
          <w:rFonts w:ascii="Arial" w:hAnsi="Arial" w:cs="Arial"/>
          <w:b/>
          <w:bCs/>
          <w:sz w:val="24"/>
          <w:szCs w:val="24"/>
          <w:lang w:val="az-Latn-AZ"/>
        </w:rPr>
        <w:t xml:space="preserve">200 </w:t>
      </w:r>
      <w:r w:rsidR="008F305F" w:rsidRPr="000F0835">
        <w:rPr>
          <w:rFonts w:ascii="Arial" w:hAnsi="Arial" w:cs="Arial"/>
          <w:b/>
          <w:bCs/>
          <w:sz w:val="24"/>
          <w:szCs w:val="24"/>
          <w:lang w:val="az-Latn-AZ"/>
        </w:rPr>
        <w:t>kilovatt saat</w:t>
      </w:r>
      <w:r w:rsidR="0011427F" w:rsidRPr="000F0835">
        <w:rPr>
          <w:rFonts w:ascii="Arial" w:hAnsi="Arial" w:cs="Arial"/>
          <w:b/>
          <w:bCs/>
          <w:sz w:val="24"/>
          <w:szCs w:val="24"/>
          <w:lang w:val="az-Latn-AZ"/>
        </w:rPr>
        <w:t xml:space="preserve">dan 300 </w:t>
      </w:r>
      <w:r w:rsidR="008F305F" w:rsidRPr="000F0835">
        <w:rPr>
          <w:rFonts w:ascii="Arial" w:hAnsi="Arial" w:cs="Arial"/>
          <w:b/>
          <w:bCs/>
          <w:sz w:val="24"/>
          <w:szCs w:val="24"/>
          <w:lang w:val="az-Latn-AZ"/>
        </w:rPr>
        <w:t>kilovatt</w:t>
      </w:r>
      <w:r w:rsidR="008F305F" w:rsidRPr="000F0835">
        <w:rPr>
          <w:rFonts w:ascii="Arial" w:hAnsi="Arial" w:cs="Arial"/>
          <w:sz w:val="24"/>
          <w:szCs w:val="24"/>
          <w:lang w:val="az-Latn-AZ"/>
        </w:rPr>
        <w:t xml:space="preserve"> saata</w:t>
      </w:r>
      <w:r w:rsidR="0011427F" w:rsidRPr="000F0835">
        <w:rPr>
          <w:rFonts w:ascii="Arial" w:hAnsi="Arial" w:cs="Arial"/>
          <w:sz w:val="24"/>
          <w:szCs w:val="24"/>
          <w:lang w:val="az-Latn-AZ"/>
        </w:rPr>
        <w:t>dək olan hissə üçün</w:t>
      </w:r>
      <w:r w:rsidR="008F305F" w:rsidRPr="000F0835">
        <w:rPr>
          <w:rFonts w:ascii="Arial" w:hAnsi="Arial" w:cs="Arial"/>
          <w:sz w:val="24"/>
          <w:szCs w:val="24"/>
          <w:lang w:val="az-Latn-AZ"/>
        </w:rPr>
        <w:t xml:space="preserve"> </w:t>
      </w:r>
      <w:r w:rsidR="008F305F" w:rsidRPr="000F0835">
        <w:rPr>
          <w:rFonts w:ascii="Arial" w:hAnsi="Arial" w:cs="Arial"/>
          <w:b/>
          <w:bCs/>
          <w:sz w:val="24"/>
          <w:szCs w:val="24"/>
          <w:lang w:val="az-Latn-AZ"/>
        </w:rPr>
        <w:t>1 qəpik</w:t>
      </w:r>
      <w:r w:rsidR="00C47F9E" w:rsidRPr="000F0835">
        <w:rPr>
          <w:rFonts w:ascii="Arial" w:hAnsi="Arial" w:cs="Arial"/>
          <w:b/>
          <w:bCs/>
          <w:sz w:val="24"/>
          <w:szCs w:val="24"/>
          <w:lang w:val="az-Latn-AZ"/>
        </w:rPr>
        <w:t xml:space="preserve"> </w:t>
      </w:r>
      <w:r w:rsidR="00887F1F" w:rsidRPr="00F41D14">
        <w:rPr>
          <w:rFonts w:ascii="Arial" w:hAnsi="Arial" w:cs="Arial"/>
          <w:sz w:val="24"/>
          <w:szCs w:val="24"/>
          <w:lang w:val="az-Latn-AZ"/>
        </w:rPr>
        <w:t>(11,1</w:t>
      </w:r>
      <w:r w:rsidR="00C47F9E" w:rsidRPr="00F41D14">
        <w:rPr>
          <w:rFonts w:ascii="Arial" w:hAnsi="Arial" w:cs="Arial"/>
          <w:sz w:val="24"/>
          <w:szCs w:val="24"/>
          <w:lang w:val="az-Latn-AZ"/>
        </w:rPr>
        <w:t>%)</w:t>
      </w:r>
      <w:r w:rsidR="008F305F" w:rsidRPr="00F41D14">
        <w:rPr>
          <w:rFonts w:ascii="Arial" w:hAnsi="Arial" w:cs="Arial"/>
          <w:sz w:val="24"/>
          <w:szCs w:val="24"/>
          <w:lang w:val="az-Latn-AZ"/>
        </w:rPr>
        <w:t xml:space="preserve"> </w:t>
      </w:r>
      <w:r w:rsidR="004154D3" w:rsidRPr="00F41D14">
        <w:rPr>
          <w:rFonts w:ascii="Arial" w:hAnsi="Arial" w:cs="Arial"/>
          <w:sz w:val="24"/>
          <w:szCs w:val="24"/>
          <w:lang w:val="az-Latn-AZ"/>
        </w:rPr>
        <w:t>artırılaraq</w:t>
      </w:r>
      <w:r w:rsidR="0011427F" w:rsidRPr="000F0835">
        <w:rPr>
          <w:rFonts w:ascii="Arial" w:hAnsi="Arial" w:cs="Arial"/>
          <w:sz w:val="24"/>
          <w:szCs w:val="24"/>
          <w:lang w:val="az-Latn-AZ"/>
        </w:rPr>
        <w:t xml:space="preserve"> 9 qəpikdən </w:t>
      </w:r>
      <w:r w:rsidR="0011427F" w:rsidRPr="000F0835">
        <w:rPr>
          <w:rFonts w:ascii="Arial" w:hAnsi="Arial" w:cs="Arial"/>
          <w:b/>
          <w:bCs/>
          <w:sz w:val="24"/>
          <w:szCs w:val="24"/>
          <w:lang w:val="az-Latn-AZ"/>
        </w:rPr>
        <w:t>10</w:t>
      </w:r>
      <w:r w:rsidR="008F305F" w:rsidRPr="000F0835">
        <w:rPr>
          <w:rFonts w:ascii="Arial" w:hAnsi="Arial" w:cs="Arial"/>
          <w:b/>
          <w:bCs/>
          <w:sz w:val="24"/>
          <w:szCs w:val="24"/>
          <w:lang w:val="az-Latn-AZ"/>
        </w:rPr>
        <w:t xml:space="preserve"> </w:t>
      </w:r>
      <w:r w:rsidR="0011427F" w:rsidRPr="000F0835">
        <w:rPr>
          <w:rFonts w:ascii="Arial" w:hAnsi="Arial" w:cs="Arial"/>
          <w:b/>
          <w:bCs/>
          <w:sz w:val="24"/>
          <w:szCs w:val="24"/>
          <w:lang w:val="az-Latn-AZ"/>
        </w:rPr>
        <w:t>qəpiyə</w:t>
      </w:r>
      <w:r w:rsidR="008E1DA5" w:rsidRPr="000F0835">
        <w:rPr>
          <w:rFonts w:ascii="Arial" w:hAnsi="Arial" w:cs="Arial"/>
          <w:sz w:val="24"/>
          <w:szCs w:val="24"/>
          <w:lang w:val="az-Latn-AZ"/>
        </w:rPr>
        <w:t>;</w:t>
      </w:r>
    </w:p>
    <w:p w14:paraId="0D33BA2C" w14:textId="70ABB100" w:rsidR="008E1DA5" w:rsidRPr="000F0835" w:rsidRDefault="000211F3" w:rsidP="006801DE">
      <w:pPr>
        <w:pStyle w:val="NoSpacing"/>
        <w:widowControl w:val="0"/>
        <w:numPr>
          <w:ilvl w:val="0"/>
          <w:numId w:val="10"/>
        </w:numPr>
        <w:spacing w:after="60" w:line="276" w:lineRule="auto"/>
        <w:ind w:left="426" w:right="849"/>
        <w:jc w:val="both"/>
        <w:rPr>
          <w:rFonts w:ascii="Arial" w:hAnsi="Arial" w:cs="Arial"/>
          <w:sz w:val="24"/>
          <w:szCs w:val="24"/>
          <w:lang w:val="az-Latn-AZ"/>
        </w:rPr>
      </w:pPr>
      <w:r w:rsidRPr="000F0835">
        <w:rPr>
          <w:rFonts w:ascii="Arial" w:hAnsi="Arial" w:cs="Arial"/>
          <w:b/>
          <w:bCs/>
          <w:sz w:val="24"/>
          <w:szCs w:val="24"/>
          <w:lang w:val="az-Latn-AZ"/>
        </w:rPr>
        <w:t xml:space="preserve">300 </w:t>
      </w:r>
      <w:r w:rsidR="008F305F" w:rsidRPr="000F0835">
        <w:rPr>
          <w:rFonts w:ascii="Arial" w:hAnsi="Arial" w:cs="Arial"/>
          <w:b/>
          <w:bCs/>
          <w:sz w:val="24"/>
          <w:szCs w:val="24"/>
          <w:lang w:val="az-Latn-AZ"/>
        </w:rPr>
        <w:t>kilovatt saat</w:t>
      </w:r>
      <w:r w:rsidR="0011427F" w:rsidRPr="000F0835">
        <w:rPr>
          <w:rFonts w:ascii="Arial" w:hAnsi="Arial" w:cs="Arial"/>
          <w:b/>
          <w:bCs/>
          <w:sz w:val="24"/>
          <w:szCs w:val="24"/>
          <w:lang w:val="az-Latn-AZ"/>
        </w:rPr>
        <w:t>dan çox</w:t>
      </w:r>
      <w:r w:rsidR="0011427F" w:rsidRPr="000F0835">
        <w:rPr>
          <w:rFonts w:ascii="Arial" w:hAnsi="Arial" w:cs="Arial"/>
          <w:sz w:val="24"/>
          <w:szCs w:val="24"/>
          <w:lang w:val="az-Latn-AZ"/>
        </w:rPr>
        <w:t xml:space="preserve"> olan hissə üçün</w:t>
      </w:r>
      <w:r w:rsidR="008F305F" w:rsidRPr="000F0835">
        <w:rPr>
          <w:rFonts w:ascii="Arial" w:hAnsi="Arial" w:cs="Arial"/>
          <w:sz w:val="24"/>
          <w:szCs w:val="24"/>
          <w:lang w:val="az-Latn-AZ"/>
        </w:rPr>
        <w:t xml:space="preserve"> </w:t>
      </w:r>
      <w:r w:rsidR="008F305F" w:rsidRPr="000F0835">
        <w:rPr>
          <w:rFonts w:ascii="Arial" w:hAnsi="Arial" w:cs="Arial"/>
          <w:b/>
          <w:bCs/>
          <w:sz w:val="24"/>
          <w:szCs w:val="24"/>
          <w:lang w:val="az-Latn-AZ"/>
        </w:rPr>
        <w:t>2 qəpik</w:t>
      </w:r>
      <w:r w:rsidR="00C47F9E" w:rsidRPr="000F0835">
        <w:rPr>
          <w:rFonts w:ascii="Arial" w:hAnsi="Arial" w:cs="Arial"/>
          <w:b/>
          <w:bCs/>
          <w:sz w:val="24"/>
          <w:szCs w:val="24"/>
          <w:lang w:val="az-Latn-AZ"/>
        </w:rPr>
        <w:t xml:space="preserve"> </w:t>
      </w:r>
      <w:r w:rsidR="00887F1F" w:rsidRPr="009B2954">
        <w:rPr>
          <w:rFonts w:ascii="Arial" w:hAnsi="Arial" w:cs="Arial"/>
          <w:sz w:val="24"/>
          <w:szCs w:val="24"/>
          <w:lang w:val="az-Latn-AZ"/>
        </w:rPr>
        <w:t>(15,4</w:t>
      </w:r>
      <w:r w:rsidR="00C47F9E" w:rsidRPr="009B2954">
        <w:rPr>
          <w:rFonts w:ascii="Arial" w:hAnsi="Arial" w:cs="Arial"/>
          <w:sz w:val="24"/>
          <w:szCs w:val="24"/>
          <w:lang w:val="az-Latn-AZ"/>
        </w:rPr>
        <w:t>%)</w:t>
      </w:r>
      <w:r w:rsidR="008F305F" w:rsidRPr="009B2954">
        <w:rPr>
          <w:rFonts w:ascii="Arial" w:hAnsi="Arial" w:cs="Arial"/>
          <w:sz w:val="24"/>
          <w:szCs w:val="24"/>
          <w:lang w:val="az-Latn-AZ"/>
        </w:rPr>
        <w:t xml:space="preserve"> </w:t>
      </w:r>
      <w:r w:rsidR="004154D3" w:rsidRPr="009B2954">
        <w:rPr>
          <w:rFonts w:ascii="Arial" w:hAnsi="Arial" w:cs="Arial"/>
          <w:sz w:val="24"/>
          <w:szCs w:val="24"/>
          <w:lang w:val="az-Latn-AZ"/>
        </w:rPr>
        <w:t>artırılaraq</w:t>
      </w:r>
      <w:r w:rsidR="0011427F" w:rsidRPr="000F0835">
        <w:rPr>
          <w:rFonts w:ascii="Arial" w:hAnsi="Arial" w:cs="Arial"/>
          <w:sz w:val="24"/>
          <w:szCs w:val="24"/>
          <w:lang w:val="az-Latn-AZ"/>
        </w:rPr>
        <w:t xml:space="preserve"> 13 qəpikdən </w:t>
      </w:r>
      <w:r w:rsidR="0011427F" w:rsidRPr="000F0835">
        <w:rPr>
          <w:rFonts w:ascii="Arial" w:hAnsi="Arial" w:cs="Arial"/>
          <w:b/>
          <w:bCs/>
          <w:sz w:val="24"/>
          <w:szCs w:val="24"/>
          <w:lang w:val="az-Latn-AZ"/>
        </w:rPr>
        <w:t>15 qəpiyə dəyişdiril</w:t>
      </w:r>
      <w:r w:rsidR="008F305F" w:rsidRPr="000F0835">
        <w:rPr>
          <w:rFonts w:ascii="Arial" w:hAnsi="Arial" w:cs="Arial"/>
          <w:b/>
          <w:bCs/>
          <w:sz w:val="24"/>
          <w:szCs w:val="24"/>
          <w:lang w:val="az-Latn-AZ"/>
        </w:rPr>
        <w:t>ib</w:t>
      </w:r>
      <w:r w:rsidR="008F305F" w:rsidRPr="000F0835">
        <w:rPr>
          <w:rFonts w:ascii="Arial" w:hAnsi="Arial" w:cs="Arial"/>
          <w:sz w:val="24"/>
          <w:szCs w:val="24"/>
          <w:lang w:val="az-Latn-AZ"/>
        </w:rPr>
        <w:t>.</w:t>
      </w:r>
    </w:p>
    <w:p w14:paraId="75B5FA5E" w14:textId="25010D20" w:rsidR="00831539" w:rsidRPr="000F0835" w:rsidRDefault="00831539" w:rsidP="00004A35">
      <w:pPr>
        <w:pStyle w:val="NoSpacing"/>
        <w:widowControl w:val="0"/>
        <w:spacing w:after="60" w:line="276" w:lineRule="auto"/>
        <w:jc w:val="both"/>
        <w:rPr>
          <w:rFonts w:ascii="Arial" w:hAnsi="Arial" w:cs="Arial"/>
          <w:b/>
          <w:sz w:val="24"/>
          <w:szCs w:val="24"/>
          <w:lang w:val="az-Latn-AZ"/>
        </w:rPr>
      </w:pPr>
      <w:r w:rsidRPr="000F0835">
        <w:rPr>
          <w:rFonts w:ascii="Arial" w:hAnsi="Arial" w:cs="Arial"/>
          <w:b/>
          <w:sz w:val="24"/>
          <w:szCs w:val="24"/>
          <w:lang w:val="az-Latn-AZ"/>
        </w:rPr>
        <w:t>1 kilovatt saat elektrik enerjisinin</w:t>
      </w:r>
      <w:r w:rsidR="007E5F17" w:rsidRPr="000F0835">
        <w:rPr>
          <w:rFonts w:ascii="Arial" w:hAnsi="Arial" w:cs="Arial"/>
          <w:b/>
          <w:sz w:val="24"/>
          <w:szCs w:val="24"/>
          <w:lang w:val="az-Latn-AZ"/>
        </w:rPr>
        <w:t xml:space="preserve"> orta</w:t>
      </w:r>
      <w:r w:rsidRPr="000F0835">
        <w:rPr>
          <w:rFonts w:ascii="Arial" w:hAnsi="Arial" w:cs="Arial"/>
          <w:b/>
          <w:sz w:val="24"/>
          <w:szCs w:val="24"/>
          <w:lang w:val="az-Latn-AZ"/>
        </w:rPr>
        <w:t xml:space="preserve"> tarifi əhali üzrə </w:t>
      </w:r>
      <w:r w:rsidR="007E5F17" w:rsidRPr="000F0835">
        <w:rPr>
          <w:rFonts w:ascii="Arial" w:hAnsi="Arial" w:cs="Arial"/>
          <w:b/>
          <w:sz w:val="24"/>
          <w:szCs w:val="24"/>
          <w:lang w:val="az-Latn-AZ"/>
        </w:rPr>
        <w:t>– 0,7</w:t>
      </w:r>
      <w:r w:rsidR="003B7BAA" w:rsidRPr="000F0835">
        <w:rPr>
          <w:rFonts w:ascii="Arial" w:hAnsi="Arial" w:cs="Arial"/>
          <w:b/>
          <w:sz w:val="24"/>
          <w:szCs w:val="24"/>
          <w:lang w:val="az-Latn-AZ"/>
        </w:rPr>
        <w:t xml:space="preserve"> </w:t>
      </w:r>
      <w:r w:rsidR="007E5F17" w:rsidRPr="000F0835">
        <w:rPr>
          <w:rFonts w:ascii="Arial" w:hAnsi="Arial" w:cs="Arial"/>
          <w:b/>
          <w:sz w:val="24"/>
          <w:szCs w:val="24"/>
          <w:lang w:val="az-Latn-AZ"/>
        </w:rPr>
        <w:t>qəpik</w:t>
      </w:r>
      <w:r w:rsidR="00CA2475">
        <w:rPr>
          <w:rFonts w:ascii="Arial" w:hAnsi="Arial" w:cs="Arial"/>
          <w:b/>
          <w:sz w:val="24"/>
          <w:szCs w:val="24"/>
          <w:lang w:val="az-Latn-AZ"/>
        </w:rPr>
        <w:t xml:space="preserve"> </w:t>
      </w:r>
      <w:r w:rsidR="00CA2475" w:rsidRPr="000F0835">
        <w:rPr>
          <w:rFonts w:ascii="Arial" w:hAnsi="Arial" w:cs="Arial"/>
          <w:b/>
          <w:bCs/>
          <w:sz w:val="24"/>
          <w:szCs w:val="24"/>
          <w:lang w:val="az-Latn-AZ"/>
        </w:rPr>
        <w:t>(7,8%)</w:t>
      </w:r>
      <w:r w:rsidRPr="000F0835">
        <w:rPr>
          <w:rFonts w:ascii="Arial" w:hAnsi="Arial" w:cs="Arial"/>
          <w:b/>
          <w:sz w:val="24"/>
          <w:szCs w:val="24"/>
          <w:lang w:val="az-Latn-AZ"/>
        </w:rPr>
        <w:t xml:space="preserve"> artırılıb.</w:t>
      </w:r>
    </w:p>
    <w:p w14:paraId="04BEBE83" w14:textId="50CA1EC9" w:rsidR="00EB5EA1" w:rsidRPr="009B2954" w:rsidRDefault="00767B41" w:rsidP="00767B41">
      <w:pPr>
        <w:pStyle w:val="NoSpacing"/>
        <w:widowControl w:val="0"/>
        <w:spacing w:after="60" w:line="276" w:lineRule="auto"/>
        <w:jc w:val="both"/>
        <w:rPr>
          <w:rFonts w:ascii="Arial" w:hAnsi="Arial" w:cs="Arial"/>
          <w:b/>
          <w:bCs/>
          <w:sz w:val="24"/>
          <w:szCs w:val="24"/>
          <w:lang w:val="az-Latn-AZ"/>
        </w:rPr>
      </w:pPr>
      <w:r w:rsidRPr="009B2954">
        <w:rPr>
          <w:rFonts w:ascii="Arial" w:hAnsi="Arial" w:cs="Arial"/>
          <w:b/>
          <w:bCs/>
          <w:sz w:val="24"/>
          <w:szCs w:val="24"/>
          <w:lang w:val="az-Latn-AZ"/>
        </w:rPr>
        <w:t>Tarif dəyisikliyindən sonra əhali abonentlə</w:t>
      </w:r>
      <w:r w:rsidR="00CA2475">
        <w:rPr>
          <w:rFonts w:ascii="Arial" w:hAnsi="Arial" w:cs="Arial"/>
          <w:b/>
          <w:bCs/>
          <w:sz w:val="24"/>
          <w:szCs w:val="24"/>
          <w:lang w:val="az-Latn-AZ"/>
        </w:rPr>
        <w:t>rin orta aylı</w:t>
      </w:r>
      <w:r w:rsidRPr="009B2954">
        <w:rPr>
          <w:rFonts w:ascii="Arial" w:hAnsi="Arial" w:cs="Arial"/>
          <w:b/>
          <w:bCs/>
          <w:sz w:val="24"/>
          <w:szCs w:val="24"/>
          <w:lang w:val="az-Latn-AZ"/>
        </w:rPr>
        <w:t>q xərcinin</w:t>
      </w:r>
      <w:r w:rsidR="00CA2475">
        <w:rPr>
          <w:rFonts w:ascii="Arial" w:hAnsi="Arial" w:cs="Arial"/>
          <w:b/>
          <w:bCs/>
          <w:sz w:val="24"/>
          <w:szCs w:val="24"/>
          <w:lang w:val="az-Latn-AZ"/>
        </w:rPr>
        <w:t xml:space="preserve"> aşağıdakı kimi artacagı</w:t>
      </w:r>
      <w:r w:rsidR="00EB5EA1" w:rsidRPr="009B2954">
        <w:rPr>
          <w:rFonts w:ascii="Arial" w:hAnsi="Arial" w:cs="Arial"/>
          <w:b/>
          <w:bCs/>
          <w:sz w:val="24"/>
          <w:szCs w:val="24"/>
          <w:lang w:val="az-Latn-AZ"/>
        </w:rPr>
        <w:t xml:space="preserve"> gözlənilir:</w:t>
      </w:r>
    </w:p>
    <w:p w14:paraId="0E3148B2" w14:textId="77777777" w:rsidR="00EB5EA1" w:rsidRPr="000F0835" w:rsidRDefault="00767B41" w:rsidP="00EB5EA1">
      <w:pPr>
        <w:pStyle w:val="NoSpacing"/>
        <w:widowControl w:val="0"/>
        <w:numPr>
          <w:ilvl w:val="0"/>
          <w:numId w:val="12"/>
        </w:numPr>
        <w:spacing w:after="60" w:line="276" w:lineRule="auto"/>
        <w:jc w:val="both"/>
        <w:rPr>
          <w:rFonts w:ascii="Arial" w:hAnsi="Arial" w:cs="Arial"/>
          <w:b/>
          <w:sz w:val="24"/>
          <w:szCs w:val="24"/>
          <w:lang w:val="az-Latn-AZ"/>
        </w:rPr>
      </w:pPr>
      <w:r w:rsidRPr="000F0835">
        <w:rPr>
          <w:rFonts w:ascii="Arial" w:hAnsi="Arial" w:cs="Arial"/>
          <w:b/>
          <w:bCs/>
          <w:sz w:val="24"/>
          <w:szCs w:val="24"/>
          <w:lang w:val="az-Latn-AZ"/>
        </w:rPr>
        <w:t xml:space="preserve">65% abonent </w:t>
      </w:r>
      <w:r w:rsidRPr="000F0835">
        <w:rPr>
          <w:rFonts w:ascii="Arial" w:hAnsi="Arial" w:cs="Arial"/>
          <w:bCs/>
          <w:sz w:val="24"/>
          <w:szCs w:val="24"/>
          <w:lang w:val="az-Latn-AZ"/>
        </w:rPr>
        <w:t>üzrə</w:t>
      </w:r>
      <w:r w:rsidR="00EB5EA1" w:rsidRPr="000F0835">
        <w:rPr>
          <w:rFonts w:ascii="Arial" w:hAnsi="Arial" w:cs="Arial"/>
          <w:b/>
          <w:bCs/>
          <w:sz w:val="24"/>
          <w:szCs w:val="24"/>
          <w:lang w:val="az-Latn-AZ"/>
        </w:rPr>
        <w:t xml:space="preserve"> -</w:t>
      </w:r>
      <w:r w:rsidRPr="000F0835">
        <w:rPr>
          <w:rFonts w:ascii="Arial" w:hAnsi="Arial" w:cs="Arial"/>
          <w:b/>
          <w:bCs/>
          <w:sz w:val="24"/>
          <w:szCs w:val="24"/>
          <w:lang w:val="az-Latn-AZ"/>
        </w:rPr>
        <w:t xml:space="preserve"> 45 qəpik</w:t>
      </w:r>
      <w:r w:rsidRPr="000F0835">
        <w:rPr>
          <w:rFonts w:ascii="Arial" w:hAnsi="Arial" w:cs="Arial"/>
          <w:b/>
          <w:sz w:val="24"/>
          <w:szCs w:val="24"/>
          <w:lang w:val="az-Latn-AZ"/>
        </w:rPr>
        <w:t>,</w:t>
      </w:r>
    </w:p>
    <w:p w14:paraId="3032D7E9" w14:textId="77777777" w:rsidR="00EB5EA1" w:rsidRPr="000F0835" w:rsidRDefault="00767B41" w:rsidP="00EB5EA1">
      <w:pPr>
        <w:pStyle w:val="NoSpacing"/>
        <w:widowControl w:val="0"/>
        <w:numPr>
          <w:ilvl w:val="0"/>
          <w:numId w:val="12"/>
        </w:numPr>
        <w:spacing w:after="60" w:line="276" w:lineRule="auto"/>
        <w:jc w:val="both"/>
        <w:rPr>
          <w:rFonts w:ascii="Arial" w:hAnsi="Arial" w:cs="Arial"/>
          <w:b/>
          <w:sz w:val="24"/>
          <w:szCs w:val="24"/>
          <w:lang w:val="az-Latn-AZ"/>
        </w:rPr>
      </w:pPr>
      <w:r w:rsidRPr="000F0835">
        <w:rPr>
          <w:rFonts w:ascii="Arial" w:hAnsi="Arial" w:cs="Arial"/>
          <w:b/>
          <w:bCs/>
          <w:sz w:val="24"/>
          <w:szCs w:val="24"/>
          <w:lang w:val="az-Latn-AZ"/>
        </w:rPr>
        <w:t xml:space="preserve">20% abonent </w:t>
      </w:r>
      <w:r w:rsidRPr="000F0835">
        <w:rPr>
          <w:rFonts w:ascii="Arial" w:hAnsi="Arial" w:cs="Arial"/>
          <w:bCs/>
          <w:sz w:val="24"/>
          <w:szCs w:val="24"/>
          <w:lang w:val="az-Latn-AZ"/>
        </w:rPr>
        <w:t>üzrə</w:t>
      </w:r>
      <w:r w:rsidR="00EB5EA1" w:rsidRPr="000F0835">
        <w:rPr>
          <w:rFonts w:ascii="Arial" w:hAnsi="Arial" w:cs="Arial"/>
          <w:b/>
          <w:bCs/>
          <w:sz w:val="24"/>
          <w:szCs w:val="24"/>
          <w:lang w:val="az-Latn-AZ"/>
        </w:rPr>
        <w:t xml:space="preserve"> -</w:t>
      </w:r>
      <w:r w:rsidRPr="000F0835">
        <w:rPr>
          <w:rFonts w:ascii="Arial" w:hAnsi="Arial" w:cs="Arial"/>
          <w:b/>
          <w:bCs/>
          <w:sz w:val="24"/>
          <w:szCs w:val="24"/>
          <w:lang w:val="az-Latn-AZ"/>
        </w:rPr>
        <w:t xml:space="preserve"> 1 manat 33 qəpik</w:t>
      </w:r>
      <w:r w:rsidRPr="000F0835">
        <w:rPr>
          <w:rFonts w:ascii="Arial" w:hAnsi="Arial" w:cs="Arial"/>
          <w:b/>
          <w:sz w:val="24"/>
          <w:szCs w:val="24"/>
          <w:lang w:val="az-Latn-AZ"/>
        </w:rPr>
        <w:t>,</w:t>
      </w:r>
    </w:p>
    <w:p w14:paraId="42009BFC" w14:textId="2BD0F18E" w:rsidR="00767B41" w:rsidRPr="000F0835" w:rsidRDefault="00767B41" w:rsidP="00EB5EA1">
      <w:pPr>
        <w:pStyle w:val="NoSpacing"/>
        <w:widowControl w:val="0"/>
        <w:numPr>
          <w:ilvl w:val="0"/>
          <w:numId w:val="12"/>
        </w:numPr>
        <w:spacing w:after="60" w:line="276" w:lineRule="auto"/>
        <w:jc w:val="both"/>
        <w:rPr>
          <w:rFonts w:ascii="Arial" w:hAnsi="Arial" w:cs="Arial"/>
          <w:b/>
          <w:sz w:val="24"/>
          <w:szCs w:val="24"/>
          <w:lang w:val="az-Latn-AZ"/>
        </w:rPr>
      </w:pPr>
      <w:r w:rsidRPr="000F0835">
        <w:rPr>
          <w:rFonts w:ascii="Arial" w:hAnsi="Arial" w:cs="Arial"/>
          <w:b/>
          <w:bCs/>
          <w:sz w:val="24"/>
          <w:szCs w:val="24"/>
          <w:lang w:val="az-Latn-AZ"/>
        </w:rPr>
        <w:t>15% abonent</w:t>
      </w:r>
      <w:r w:rsidR="00EB5EA1" w:rsidRPr="000F0835">
        <w:rPr>
          <w:rFonts w:ascii="Arial" w:hAnsi="Arial" w:cs="Arial"/>
          <w:b/>
          <w:bCs/>
          <w:sz w:val="24"/>
          <w:szCs w:val="24"/>
          <w:lang w:val="az-Latn-AZ"/>
        </w:rPr>
        <w:t xml:space="preserve"> </w:t>
      </w:r>
      <w:r w:rsidR="00EB5EA1" w:rsidRPr="000F0835">
        <w:rPr>
          <w:rFonts w:ascii="Arial" w:hAnsi="Arial" w:cs="Arial"/>
          <w:bCs/>
          <w:sz w:val="24"/>
          <w:szCs w:val="24"/>
          <w:lang w:val="az-Latn-AZ"/>
        </w:rPr>
        <w:t>(</w:t>
      </w:r>
      <w:r w:rsidR="00EB5EA1" w:rsidRPr="000F0835">
        <w:rPr>
          <w:rFonts w:ascii="Arial" w:hAnsi="Arial" w:cs="Arial"/>
          <w:sz w:val="24"/>
          <w:szCs w:val="24"/>
          <w:lang w:val="az-Latn-AZ"/>
        </w:rPr>
        <w:t>daha çox istehlak edən</w:t>
      </w:r>
      <w:r w:rsidR="00EB5EA1" w:rsidRPr="000F0835">
        <w:rPr>
          <w:rFonts w:ascii="Arial" w:hAnsi="Arial" w:cs="Arial"/>
          <w:bCs/>
          <w:sz w:val="24"/>
          <w:szCs w:val="24"/>
          <w:lang w:val="az-Latn-AZ"/>
        </w:rPr>
        <w:t>)</w:t>
      </w:r>
      <w:r w:rsidRPr="000F0835">
        <w:rPr>
          <w:rFonts w:ascii="Arial" w:hAnsi="Arial" w:cs="Arial"/>
          <w:b/>
          <w:bCs/>
          <w:sz w:val="24"/>
          <w:szCs w:val="24"/>
          <w:lang w:val="az-Latn-AZ"/>
        </w:rPr>
        <w:t xml:space="preserve"> üzrə </w:t>
      </w:r>
      <w:r w:rsidR="00EB5EA1" w:rsidRPr="000F0835">
        <w:rPr>
          <w:rFonts w:ascii="Arial" w:hAnsi="Arial" w:cs="Arial"/>
          <w:b/>
          <w:bCs/>
          <w:sz w:val="24"/>
          <w:szCs w:val="24"/>
          <w:lang w:val="az-Latn-AZ"/>
        </w:rPr>
        <w:t xml:space="preserve">- </w:t>
      </w:r>
      <w:r w:rsidRPr="000F0835">
        <w:rPr>
          <w:rFonts w:ascii="Arial" w:hAnsi="Arial" w:cs="Arial"/>
          <w:b/>
          <w:bCs/>
          <w:sz w:val="24"/>
          <w:szCs w:val="24"/>
          <w:lang w:val="az-Latn-AZ"/>
        </w:rPr>
        <w:t>5 manat 61 qəpik</w:t>
      </w:r>
      <w:r w:rsidR="00EB5EA1" w:rsidRPr="000F0835">
        <w:rPr>
          <w:rFonts w:ascii="Arial" w:hAnsi="Arial" w:cs="Arial"/>
          <w:b/>
          <w:bCs/>
          <w:sz w:val="24"/>
          <w:szCs w:val="24"/>
          <w:lang w:val="az-Latn-AZ"/>
        </w:rPr>
        <w:t xml:space="preserve">. </w:t>
      </w:r>
    </w:p>
    <w:p w14:paraId="09CFA271" w14:textId="5D8AEAC1" w:rsidR="00C47F9E" w:rsidRPr="009B2954" w:rsidRDefault="00C47F9E" w:rsidP="00C47F9E">
      <w:pPr>
        <w:pStyle w:val="NoSpacing"/>
        <w:widowControl w:val="0"/>
        <w:spacing w:after="60" w:line="276" w:lineRule="auto"/>
        <w:jc w:val="both"/>
        <w:rPr>
          <w:rFonts w:ascii="Arial" w:hAnsi="Arial" w:cs="Arial"/>
          <w:b/>
          <w:bCs/>
          <w:sz w:val="24"/>
          <w:szCs w:val="24"/>
          <w:lang w:val="az-Latn-AZ"/>
        </w:rPr>
      </w:pPr>
      <w:r w:rsidRPr="009B2954">
        <w:rPr>
          <w:rFonts w:ascii="Arial" w:hAnsi="Arial" w:cs="Arial"/>
          <w:b/>
          <w:bCs/>
          <w:sz w:val="24"/>
          <w:szCs w:val="24"/>
          <w:lang w:val="az-Latn-AZ"/>
        </w:rPr>
        <w:lastRenderedPageBreak/>
        <w:t xml:space="preserve">Göründüyü kimi, əhalinin 65%-i üçün 1 kilovatt saat elektrik enerjisinin tarifi </w:t>
      </w:r>
      <w:r w:rsidR="003B7BAA" w:rsidRPr="009B2954">
        <w:rPr>
          <w:rFonts w:ascii="Arial" w:hAnsi="Arial" w:cs="Arial"/>
          <w:b/>
          <w:bCs/>
          <w:sz w:val="24"/>
          <w:szCs w:val="24"/>
          <w:lang w:val="az-Latn-AZ"/>
        </w:rPr>
        <w:t xml:space="preserve">maksimum aşağı səviyyədə - </w:t>
      </w:r>
      <w:r w:rsidRPr="009B2954">
        <w:rPr>
          <w:rFonts w:ascii="Arial" w:hAnsi="Arial" w:cs="Arial"/>
          <w:b/>
          <w:bCs/>
          <w:sz w:val="24"/>
          <w:szCs w:val="24"/>
          <w:lang w:val="az-Latn-AZ"/>
        </w:rPr>
        <w:t>0,4 qəpik</w:t>
      </w:r>
      <w:r w:rsidR="00BE73E7" w:rsidRPr="009B2954">
        <w:rPr>
          <w:rFonts w:ascii="Arial" w:hAnsi="Arial" w:cs="Arial"/>
          <w:b/>
          <w:bCs/>
          <w:sz w:val="24"/>
          <w:szCs w:val="24"/>
          <w:lang w:val="az-Latn-AZ"/>
        </w:rPr>
        <w:t xml:space="preserve"> (5</w:t>
      </w:r>
      <w:r w:rsidRPr="009B2954">
        <w:rPr>
          <w:rFonts w:ascii="Arial" w:hAnsi="Arial" w:cs="Arial"/>
          <w:b/>
          <w:bCs/>
          <w:sz w:val="24"/>
          <w:szCs w:val="24"/>
          <w:lang w:val="az-Latn-AZ"/>
        </w:rPr>
        <w:t xml:space="preserve">%) artırılır. </w:t>
      </w:r>
    </w:p>
    <w:p w14:paraId="38B3E985" w14:textId="3CDD2247" w:rsidR="00E06ACB" w:rsidRPr="000F0835" w:rsidRDefault="008B1A5F" w:rsidP="00004A35">
      <w:pPr>
        <w:pStyle w:val="NoSpacing"/>
        <w:widowControl w:val="0"/>
        <w:spacing w:after="60" w:line="276" w:lineRule="auto"/>
        <w:jc w:val="both"/>
        <w:rPr>
          <w:rFonts w:ascii="Arial" w:hAnsi="Arial" w:cs="Arial"/>
          <w:sz w:val="24"/>
          <w:szCs w:val="24"/>
          <w:lang w:val="az-Latn-AZ"/>
        </w:rPr>
      </w:pPr>
      <w:r w:rsidRPr="000F0835">
        <w:rPr>
          <w:rFonts w:ascii="Arial" w:hAnsi="Arial" w:cs="Arial"/>
          <w:sz w:val="24"/>
          <w:szCs w:val="24"/>
          <w:lang w:val="az-Latn-AZ"/>
        </w:rPr>
        <w:t xml:space="preserve">İstehlak malları indeksinə təsirin </w:t>
      </w:r>
      <w:r w:rsidR="007E5F17" w:rsidRPr="000F0835">
        <w:rPr>
          <w:rFonts w:ascii="Arial" w:hAnsi="Arial" w:cs="Arial"/>
          <w:sz w:val="24"/>
          <w:szCs w:val="24"/>
          <w:lang w:val="az-Latn-AZ"/>
        </w:rPr>
        <w:t>minimallaşdırılması</w:t>
      </w:r>
      <w:r w:rsidRPr="000F0835">
        <w:rPr>
          <w:rFonts w:ascii="Arial" w:hAnsi="Arial" w:cs="Arial"/>
          <w:sz w:val="24"/>
          <w:szCs w:val="24"/>
          <w:lang w:val="az-Latn-AZ"/>
        </w:rPr>
        <w:t xml:space="preserve"> məqsə</w:t>
      </w:r>
      <w:r w:rsidR="00CA2475">
        <w:rPr>
          <w:rFonts w:ascii="Arial" w:hAnsi="Arial" w:cs="Arial"/>
          <w:sz w:val="24"/>
          <w:szCs w:val="24"/>
          <w:lang w:val="az-Latn-AZ"/>
        </w:rPr>
        <w:t>di</w:t>
      </w:r>
      <w:r w:rsidRPr="000F0835">
        <w:rPr>
          <w:rFonts w:ascii="Arial" w:hAnsi="Arial" w:cs="Arial"/>
          <w:sz w:val="24"/>
          <w:szCs w:val="24"/>
          <w:lang w:val="az-Latn-AZ"/>
        </w:rPr>
        <w:t>lə</w:t>
      </w:r>
      <w:r w:rsidR="00252126" w:rsidRPr="000F0835">
        <w:rPr>
          <w:rFonts w:ascii="Arial" w:hAnsi="Arial" w:cs="Arial"/>
          <w:sz w:val="24"/>
          <w:szCs w:val="24"/>
          <w:lang w:val="az-Latn-AZ"/>
        </w:rPr>
        <w:t xml:space="preserve"> </w:t>
      </w:r>
      <w:r w:rsidRPr="000F0835">
        <w:rPr>
          <w:rFonts w:ascii="Arial" w:hAnsi="Arial" w:cs="Arial"/>
          <w:b/>
          <w:bCs/>
          <w:sz w:val="24"/>
          <w:szCs w:val="24"/>
          <w:lang w:val="az-Latn-AZ"/>
        </w:rPr>
        <w:t>sənaye və kənd təsərrüfatı sahələri</w:t>
      </w:r>
      <w:r w:rsidRPr="000F0835">
        <w:rPr>
          <w:rFonts w:ascii="Arial" w:hAnsi="Arial" w:cs="Arial"/>
          <w:sz w:val="24"/>
          <w:szCs w:val="24"/>
          <w:lang w:val="az-Latn-AZ"/>
        </w:rPr>
        <w:t xml:space="preserve"> </w:t>
      </w:r>
      <w:r w:rsidRPr="00A81276">
        <w:rPr>
          <w:rFonts w:ascii="Arial" w:hAnsi="Arial" w:cs="Arial"/>
          <w:b/>
          <w:bCs/>
          <w:sz w:val="24"/>
          <w:szCs w:val="24"/>
          <w:lang w:val="az-Latn-AZ"/>
        </w:rPr>
        <w:t>üzrə 1</w:t>
      </w:r>
      <w:r w:rsidR="000211F3" w:rsidRPr="00A81276">
        <w:rPr>
          <w:rFonts w:ascii="Arial" w:hAnsi="Arial" w:cs="Arial"/>
          <w:b/>
          <w:bCs/>
          <w:sz w:val="24"/>
          <w:szCs w:val="24"/>
          <w:lang w:val="az-Latn-AZ"/>
        </w:rPr>
        <w:t xml:space="preserve"> kilovatt saat</w:t>
      </w:r>
      <w:r w:rsidRPr="00A81276">
        <w:rPr>
          <w:rFonts w:ascii="Arial" w:hAnsi="Arial" w:cs="Arial"/>
          <w:b/>
          <w:bCs/>
          <w:sz w:val="24"/>
          <w:szCs w:val="24"/>
          <w:lang w:val="az-Latn-AZ"/>
        </w:rPr>
        <w:t xml:space="preserve"> elektrik enerjisinin tarifi</w:t>
      </w:r>
      <w:r w:rsidR="00B6470B" w:rsidRPr="000F0835">
        <w:rPr>
          <w:rFonts w:ascii="Arial" w:hAnsi="Arial" w:cs="Arial"/>
          <w:sz w:val="24"/>
          <w:szCs w:val="24"/>
          <w:lang w:val="az-Latn-AZ"/>
        </w:rPr>
        <w:t xml:space="preserve"> -</w:t>
      </w:r>
      <w:r w:rsidRPr="000F0835">
        <w:rPr>
          <w:rFonts w:ascii="Arial" w:hAnsi="Arial" w:cs="Arial"/>
          <w:sz w:val="24"/>
          <w:szCs w:val="24"/>
          <w:lang w:val="az-Latn-AZ"/>
        </w:rPr>
        <w:t xml:space="preserve"> </w:t>
      </w:r>
      <w:r w:rsidRPr="000F0835">
        <w:rPr>
          <w:rFonts w:ascii="Arial" w:hAnsi="Arial" w:cs="Arial"/>
          <w:b/>
          <w:bCs/>
          <w:sz w:val="24"/>
          <w:szCs w:val="24"/>
          <w:lang w:val="az-Latn-AZ"/>
        </w:rPr>
        <w:t>0,6 qəpik</w:t>
      </w:r>
      <w:r w:rsidR="00C47F9E" w:rsidRPr="000F0835">
        <w:rPr>
          <w:rFonts w:ascii="Arial" w:hAnsi="Arial" w:cs="Arial"/>
          <w:b/>
          <w:bCs/>
          <w:sz w:val="24"/>
          <w:szCs w:val="24"/>
          <w:lang w:val="az-Latn-AZ"/>
        </w:rPr>
        <w:t xml:space="preserve"> </w:t>
      </w:r>
      <w:r w:rsidR="00BE73E7" w:rsidRPr="009B2954">
        <w:rPr>
          <w:rFonts w:ascii="Arial" w:hAnsi="Arial" w:cs="Arial"/>
          <w:sz w:val="24"/>
          <w:szCs w:val="24"/>
          <w:lang w:val="az-Latn-AZ"/>
        </w:rPr>
        <w:t>(6</w:t>
      </w:r>
      <w:r w:rsidR="00C47F9E" w:rsidRPr="009B2954">
        <w:rPr>
          <w:rFonts w:ascii="Arial" w:hAnsi="Arial" w:cs="Arial"/>
          <w:sz w:val="24"/>
          <w:szCs w:val="24"/>
          <w:lang w:val="az-Latn-AZ"/>
        </w:rPr>
        <w:t>%)</w:t>
      </w:r>
      <w:r w:rsidRPr="009B2954">
        <w:rPr>
          <w:rFonts w:ascii="Arial" w:hAnsi="Arial" w:cs="Arial"/>
          <w:sz w:val="24"/>
          <w:szCs w:val="24"/>
          <w:lang w:val="az-Latn-AZ"/>
        </w:rPr>
        <w:t xml:space="preserve"> </w:t>
      </w:r>
      <w:r w:rsidR="004154D3" w:rsidRPr="009B2954">
        <w:rPr>
          <w:rFonts w:ascii="Arial" w:hAnsi="Arial" w:cs="Arial"/>
          <w:sz w:val="24"/>
          <w:szCs w:val="24"/>
          <w:lang w:val="az-Latn-AZ"/>
        </w:rPr>
        <w:t>artırılaraq</w:t>
      </w:r>
      <w:r w:rsidRPr="000F0835">
        <w:rPr>
          <w:rFonts w:ascii="Arial" w:hAnsi="Arial" w:cs="Arial"/>
          <w:sz w:val="24"/>
          <w:szCs w:val="24"/>
          <w:lang w:val="az-Latn-AZ"/>
        </w:rPr>
        <w:t xml:space="preserve"> </w:t>
      </w:r>
      <w:r w:rsidR="00252126" w:rsidRPr="000F0835">
        <w:rPr>
          <w:rFonts w:ascii="Arial" w:hAnsi="Arial" w:cs="Arial"/>
          <w:sz w:val="24"/>
          <w:szCs w:val="24"/>
          <w:lang w:val="az-Latn-AZ"/>
        </w:rPr>
        <w:t xml:space="preserve">10 qəpikdən </w:t>
      </w:r>
      <w:r w:rsidRPr="000F0835">
        <w:rPr>
          <w:rFonts w:ascii="Arial" w:hAnsi="Arial" w:cs="Arial"/>
          <w:b/>
          <w:bCs/>
          <w:sz w:val="24"/>
          <w:szCs w:val="24"/>
          <w:lang w:val="az-Latn-AZ"/>
        </w:rPr>
        <w:t>10,6 qəpik</w:t>
      </w:r>
      <w:r w:rsidR="00252126" w:rsidRPr="000F0835">
        <w:rPr>
          <w:rFonts w:ascii="Arial" w:hAnsi="Arial" w:cs="Arial"/>
          <w:sz w:val="24"/>
          <w:szCs w:val="24"/>
          <w:lang w:val="az-Latn-AZ"/>
        </w:rPr>
        <w:t xml:space="preserve"> həddində</w:t>
      </w:r>
      <w:r w:rsidRPr="000F0835">
        <w:rPr>
          <w:rFonts w:ascii="Arial" w:hAnsi="Arial" w:cs="Arial"/>
          <w:sz w:val="24"/>
          <w:szCs w:val="24"/>
          <w:lang w:val="az-Latn-AZ"/>
        </w:rPr>
        <w:t xml:space="preserve"> müəyyənləşdiril</w:t>
      </w:r>
      <w:r w:rsidR="00252126" w:rsidRPr="000F0835">
        <w:rPr>
          <w:rFonts w:ascii="Arial" w:hAnsi="Arial" w:cs="Arial"/>
          <w:sz w:val="24"/>
          <w:szCs w:val="24"/>
          <w:lang w:val="az-Latn-AZ"/>
        </w:rPr>
        <w:t>ib.</w:t>
      </w:r>
    </w:p>
    <w:p w14:paraId="68F58FB1" w14:textId="116854AB" w:rsidR="008B1A5F" w:rsidRPr="000F0835" w:rsidRDefault="003B7BAA" w:rsidP="00004A35">
      <w:pPr>
        <w:pStyle w:val="NoSpacing"/>
        <w:spacing w:after="60" w:line="276" w:lineRule="auto"/>
        <w:jc w:val="both"/>
        <w:rPr>
          <w:rFonts w:ascii="Arial" w:hAnsi="Arial" w:cs="Arial"/>
          <w:sz w:val="24"/>
          <w:szCs w:val="24"/>
          <w:lang w:val="az-Latn-AZ"/>
        </w:rPr>
      </w:pPr>
      <w:r w:rsidRPr="000F0835">
        <w:rPr>
          <w:rFonts w:ascii="Arial" w:hAnsi="Arial" w:cs="Arial"/>
          <w:sz w:val="24"/>
          <w:szCs w:val="24"/>
          <w:lang w:val="az-Latn-AZ"/>
        </w:rPr>
        <w:t xml:space="preserve">Elektrik doldurma məntəqələrinə verilən </w:t>
      </w:r>
      <w:r w:rsidRPr="000F0835">
        <w:rPr>
          <w:rFonts w:ascii="Arial" w:hAnsi="Arial" w:cs="Arial"/>
          <w:b/>
          <w:bCs/>
          <w:sz w:val="24"/>
          <w:szCs w:val="24"/>
          <w:lang w:val="az-Latn-AZ"/>
        </w:rPr>
        <w:t>1 kilovatt saat</w:t>
      </w:r>
      <w:r w:rsidR="00252126" w:rsidRPr="000F0835">
        <w:rPr>
          <w:rFonts w:ascii="Arial" w:hAnsi="Arial" w:cs="Arial"/>
          <w:b/>
          <w:bCs/>
          <w:sz w:val="24"/>
          <w:szCs w:val="24"/>
          <w:lang w:val="az-Latn-AZ"/>
        </w:rPr>
        <w:t xml:space="preserve"> </w:t>
      </w:r>
      <w:r w:rsidR="00B6470B" w:rsidRPr="000F0835">
        <w:rPr>
          <w:rFonts w:ascii="Arial" w:hAnsi="Arial" w:cs="Arial"/>
          <w:sz w:val="24"/>
          <w:szCs w:val="24"/>
          <w:lang w:val="az-Latn-AZ"/>
        </w:rPr>
        <w:t xml:space="preserve">elektrik enerjisinin tarifləri </w:t>
      </w:r>
      <w:r w:rsidR="00F152A0" w:rsidRPr="000F0835">
        <w:rPr>
          <w:rFonts w:ascii="Arial" w:hAnsi="Arial" w:cs="Arial"/>
          <w:b/>
          <w:bCs/>
          <w:sz w:val="24"/>
          <w:szCs w:val="24"/>
          <w:lang w:val="az-Latn-AZ"/>
        </w:rPr>
        <w:t>1,5 qəpik</w:t>
      </w:r>
      <w:r w:rsidR="00C47F9E" w:rsidRPr="000F0835">
        <w:rPr>
          <w:rFonts w:ascii="Arial" w:hAnsi="Arial" w:cs="Arial"/>
          <w:b/>
          <w:bCs/>
          <w:sz w:val="24"/>
          <w:szCs w:val="24"/>
          <w:lang w:val="az-Latn-AZ"/>
        </w:rPr>
        <w:t xml:space="preserve"> </w:t>
      </w:r>
      <w:r w:rsidR="00BE73E7" w:rsidRPr="00A145B0">
        <w:rPr>
          <w:rFonts w:ascii="Arial" w:hAnsi="Arial" w:cs="Arial"/>
          <w:sz w:val="24"/>
          <w:szCs w:val="24"/>
          <w:lang w:val="az-Latn-AZ"/>
        </w:rPr>
        <w:t>(13,6</w:t>
      </w:r>
      <w:r w:rsidR="00C47F9E" w:rsidRPr="00A145B0">
        <w:rPr>
          <w:rFonts w:ascii="Arial" w:hAnsi="Arial" w:cs="Arial"/>
          <w:sz w:val="24"/>
          <w:szCs w:val="24"/>
          <w:lang w:val="az-Latn-AZ"/>
        </w:rPr>
        <w:t>%)</w:t>
      </w:r>
      <w:r w:rsidR="00F152A0" w:rsidRPr="00A145B0">
        <w:rPr>
          <w:rFonts w:ascii="Arial" w:hAnsi="Arial" w:cs="Arial"/>
          <w:sz w:val="24"/>
          <w:szCs w:val="24"/>
          <w:lang w:val="az-Latn-AZ"/>
        </w:rPr>
        <w:t xml:space="preserve"> artırılaraq</w:t>
      </w:r>
      <w:r w:rsidR="00F152A0" w:rsidRPr="000F0835">
        <w:rPr>
          <w:rFonts w:ascii="Arial" w:hAnsi="Arial" w:cs="Arial"/>
          <w:sz w:val="24"/>
          <w:szCs w:val="24"/>
          <w:lang w:val="az-Latn-AZ"/>
        </w:rPr>
        <w:t xml:space="preserve"> 11 qəpikdən</w:t>
      </w:r>
      <w:r w:rsidR="008B1A5F" w:rsidRPr="000F0835">
        <w:rPr>
          <w:rFonts w:ascii="Arial" w:hAnsi="Arial" w:cs="Arial"/>
          <w:sz w:val="24"/>
          <w:szCs w:val="24"/>
          <w:lang w:val="az-Latn-AZ"/>
        </w:rPr>
        <w:t xml:space="preserve"> </w:t>
      </w:r>
      <w:r w:rsidR="008B1A5F" w:rsidRPr="000F0835">
        <w:rPr>
          <w:rFonts w:ascii="Arial" w:hAnsi="Arial" w:cs="Arial"/>
          <w:b/>
          <w:bCs/>
          <w:sz w:val="24"/>
          <w:szCs w:val="24"/>
          <w:lang w:val="az-Latn-AZ"/>
        </w:rPr>
        <w:t>12,5 qəpik</w:t>
      </w:r>
      <w:r w:rsidR="00B6470B" w:rsidRPr="000F0835">
        <w:rPr>
          <w:rFonts w:ascii="Arial" w:hAnsi="Arial" w:cs="Arial"/>
          <w:sz w:val="24"/>
          <w:szCs w:val="24"/>
          <w:lang w:val="az-Latn-AZ"/>
        </w:rPr>
        <w:t xml:space="preserve"> səviyyəsində</w:t>
      </w:r>
      <w:r w:rsidR="008B1A5F" w:rsidRPr="000F0835">
        <w:rPr>
          <w:rFonts w:ascii="Arial" w:hAnsi="Arial" w:cs="Arial"/>
          <w:sz w:val="24"/>
          <w:szCs w:val="24"/>
          <w:lang w:val="az-Latn-AZ"/>
        </w:rPr>
        <w:t xml:space="preserve"> təsdiq edil</w:t>
      </w:r>
      <w:r w:rsidR="00B6470B" w:rsidRPr="000F0835">
        <w:rPr>
          <w:rFonts w:ascii="Arial" w:hAnsi="Arial" w:cs="Arial"/>
          <w:sz w:val="24"/>
          <w:szCs w:val="24"/>
          <w:lang w:val="az-Latn-AZ"/>
        </w:rPr>
        <w:t xml:space="preserve">ib. </w:t>
      </w:r>
      <w:r w:rsidR="00923BF4" w:rsidRPr="000F0835">
        <w:rPr>
          <w:rFonts w:ascii="Arial" w:hAnsi="Arial" w:cs="Arial"/>
          <w:sz w:val="24"/>
          <w:szCs w:val="24"/>
          <w:lang w:val="az-Latn-AZ"/>
        </w:rPr>
        <w:t>E</w:t>
      </w:r>
      <w:r w:rsidR="007E5F17" w:rsidRPr="000F0835">
        <w:rPr>
          <w:rFonts w:ascii="Arial" w:hAnsi="Arial" w:cs="Arial"/>
          <w:sz w:val="24"/>
          <w:szCs w:val="24"/>
          <w:lang w:val="az-Latn-AZ"/>
        </w:rPr>
        <w:t xml:space="preserve">lektrik doldurma məntəqələri tərəfindən göstərilən xidmətin qiyməti isə sahibkarlar </w:t>
      </w:r>
      <w:r w:rsidR="007E5F17" w:rsidRPr="008920E7">
        <w:rPr>
          <w:rFonts w:ascii="Arial" w:hAnsi="Arial" w:cs="Arial"/>
          <w:sz w:val="24"/>
          <w:szCs w:val="24"/>
          <w:lang w:val="az-Latn-AZ"/>
        </w:rPr>
        <w:t>tərəfindən</w:t>
      </w:r>
      <w:r w:rsidR="00923BF4" w:rsidRPr="008920E7">
        <w:rPr>
          <w:rFonts w:ascii="Arial" w:hAnsi="Arial" w:cs="Arial"/>
          <w:sz w:val="24"/>
          <w:szCs w:val="24"/>
          <w:lang w:val="az-Latn-AZ"/>
        </w:rPr>
        <w:t xml:space="preserve"> rəqabət şəraitində</w:t>
      </w:r>
      <w:r w:rsidR="007E5F17" w:rsidRPr="000F0835">
        <w:rPr>
          <w:rFonts w:ascii="Arial" w:hAnsi="Arial" w:cs="Arial"/>
          <w:sz w:val="24"/>
          <w:szCs w:val="24"/>
          <w:lang w:val="az-Latn-AZ"/>
        </w:rPr>
        <w:t xml:space="preserve"> sərbəst olaraq müəyyənləşdiriləcək.</w:t>
      </w:r>
    </w:p>
    <w:p w14:paraId="1ACB85C7" w14:textId="77777777" w:rsidR="009348DF" w:rsidRPr="000F0835" w:rsidRDefault="009348DF" w:rsidP="00004A35">
      <w:pPr>
        <w:widowControl w:val="0"/>
        <w:spacing w:after="60" w:line="276" w:lineRule="auto"/>
        <w:jc w:val="both"/>
        <w:rPr>
          <w:rFonts w:ascii="Arial" w:eastAsia="Times New Roman" w:hAnsi="Arial" w:cs="Arial"/>
          <w:b/>
          <w:sz w:val="24"/>
          <w:szCs w:val="24"/>
          <w:u w:val="single"/>
          <w:lang w:val="az-Latn-AZ"/>
        </w:rPr>
      </w:pPr>
    </w:p>
    <w:p w14:paraId="5515CB65" w14:textId="4722BD78" w:rsidR="0008522C" w:rsidRPr="000F0835" w:rsidRDefault="0008522C" w:rsidP="00004A35">
      <w:pPr>
        <w:widowControl w:val="0"/>
        <w:spacing w:after="60" w:line="276" w:lineRule="auto"/>
        <w:jc w:val="both"/>
        <w:rPr>
          <w:rFonts w:ascii="Arial" w:eastAsia="Times New Roman" w:hAnsi="Arial" w:cs="Arial"/>
          <w:b/>
          <w:sz w:val="24"/>
          <w:szCs w:val="24"/>
          <w:u w:val="single"/>
          <w:lang w:val="az-Latn-AZ"/>
        </w:rPr>
      </w:pPr>
      <w:r w:rsidRPr="000F0835">
        <w:rPr>
          <w:rFonts w:ascii="Arial" w:eastAsia="Times New Roman" w:hAnsi="Arial" w:cs="Arial"/>
          <w:b/>
          <w:sz w:val="24"/>
          <w:szCs w:val="24"/>
          <w:u w:val="single"/>
          <w:lang w:val="az-Latn-AZ"/>
        </w:rPr>
        <w:t>Dərmanların qiymətlərinin tənzimlənməsi</w:t>
      </w:r>
      <w:r w:rsidR="005B41B5" w:rsidRPr="000F0835">
        <w:rPr>
          <w:rFonts w:ascii="Arial" w:eastAsia="Times New Roman" w:hAnsi="Arial" w:cs="Arial"/>
          <w:b/>
          <w:sz w:val="24"/>
          <w:szCs w:val="24"/>
          <w:u w:val="single"/>
          <w:lang w:val="az-Latn-AZ"/>
        </w:rPr>
        <w:t>:</w:t>
      </w:r>
    </w:p>
    <w:p w14:paraId="73D85BF4" w14:textId="38713875" w:rsidR="00E96937" w:rsidRPr="00A145B0" w:rsidRDefault="00300790" w:rsidP="00004A35">
      <w:pPr>
        <w:widowControl w:val="0"/>
        <w:spacing w:after="60" w:line="276" w:lineRule="auto"/>
        <w:jc w:val="both"/>
        <w:rPr>
          <w:rFonts w:ascii="Arial" w:eastAsia="Times New Roman" w:hAnsi="Arial" w:cs="Arial"/>
          <w:sz w:val="24"/>
          <w:szCs w:val="24"/>
          <w:lang w:val="az-Latn-AZ"/>
        </w:rPr>
      </w:pPr>
      <w:r w:rsidRPr="00A145B0">
        <w:rPr>
          <w:rFonts w:ascii="Arial" w:eastAsia="Times New Roman" w:hAnsi="Arial" w:cs="Arial"/>
          <w:sz w:val="24"/>
          <w:szCs w:val="24"/>
          <w:lang w:val="az-Latn-AZ"/>
        </w:rPr>
        <w:t xml:space="preserve">Həmçinin iclasda yeni dövlət qeydiyyatına alınan </w:t>
      </w:r>
      <w:r w:rsidR="00BE73E7" w:rsidRPr="00A145B0">
        <w:rPr>
          <w:rFonts w:ascii="Arial" w:eastAsia="Times New Roman" w:hAnsi="Arial" w:cs="Arial"/>
          <w:sz w:val="24"/>
          <w:szCs w:val="24"/>
          <w:lang w:val="az-Latn-AZ"/>
        </w:rPr>
        <w:t>303</w:t>
      </w:r>
      <w:r w:rsidRPr="00A145B0">
        <w:rPr>
          <w:rFonts w:ascii="Arial" w:eastAsia="Times New Roman" w:hAnsi="Arial" w:cs="Arial"/>
          <w:sz w:val="24"/>
          <w:szCs w:val="24"/>
          <w:lang w:val="az-Latn-AZ"/>
        </w:rPr>
        <w:t xml:space="preserve"> dərman vasitəsinin qiymətinin yuxarı həddi təsdiq edilib</w:t>
      </w:r>
      <w:r w:rsidR="002C7123" w:rsidRPr="00A145B0">
        <w:rPr>
          <w:rFonts w:ascii="Arial" w:eastAsia="Times New Roman" w:hAnsi="Arial" w:cs="Arial"/>
          <w:sz w:val="24"/>
          <w:szCs w:val="24"/>
          <w:lang w:val="az-Latn-AZ"/>
        </w:rPr>
        <w:t xml:space="preserve">. Eyni zamanda, </w:t>
      </w:r>
      <w:r w:rsidR="002C7123" w:rsidRPr="00A145B0">
        <w:rPr>
          <w:rFonts w:ascii="Arial" w:hAnsi="Arial" w:cs="Arial"/>
          <w:sz w:val="24"/>
          <w:szCs w:val="24"/>
          <w:lang w:val="az-Latn-AZ"/>
        </w:rPr>
        <w:t>4 dərman vasitəsinin qiymə</w:t>
      </w:r>
      <w:r w:rsidR="001E2D78">
        <w:rPr>
          <w:rFonts w:ascii="Arial" w:hAnsi="Arial" w:cs="Arial"/>
          <w:sz w:val="24"/>
          <w:szCs w:val="24"/>
          <w:lang w:val="az-Latn-AZ"/>
        </w:rPr>
        <w:t>ti</w:t>
      </w:r>
      <w:r w:rsidR="002C7123" w:rsidRPr="00A145B0">
        <w:rPr>
          <w:rFonts w:ascii="Arial" w:hAnsi="Arial" w:cs="Arial"/>
          <w:sz w:val="24"/>
          <w:szCs w:val="24"/>
          <w:lang w:val="az-Latn-AZ"/>
        </w:rPr>
        <w:t xml:space="preserve"> aşağı salın</w:t>
      </w:r>
      <w:r w:rsidR="001E2D78">
        <w:rPr>
          <w:rFonts w:ascii="Arial" w:hAnsi="Arial" w:cs="Arial"/>
          <w:sz w:val="24"/>
          <w:szCs w:val="24"/>
          <w:lang w:val="az-Latn-AZ"/>
        </w:rPr>
        <w:t>ıb</w:t>
      </w:r>
      <w:r w:rsidRPr="00A145B0">
        <w:rPr>
          <w:rFonts w:ascii="Arial" w:eastAsia="Times New Roman" w:hAnsi="Arial" w:cs="Arial"/>
          <w:sz w:val="24"/>
          <w:szCs w:val="24"/>
          <w:lang w:val="az-Latn-AZ"/>
        </w:rPr>
        <w:t xml:space="preserve"> və etibarlı təchizatın təmin olunması məqsədilə </w:t>
      </w:r>
      <w:r w:rsidR="00BE73E7" w:rsidRPr="00A145B0">
        <w:rPr>
          <w:rFonts w:ascii="Arial" w:eastAsia="Times New Roman" w:hAnsi="Arial" w:cs="Arial"/>
          <w:sz w:val="24"/>
          <w:szCs w:val="24"/>
          <w:lang w:val="az-Latn-AZ"/>
        </w:rPr>
        <w:t>46</w:t>
      </w:r>
      <w:r w:rsidRPr="00A145B0">
        <w:rPr>
          <w:rFonts w:ascii="Arial" w:eastAsia="Times New Roman" w:hAnsi="Arial" w:cs="Arial"/>
          <w:sz w:val="24"/>
          <w:szCs w:val="24"/>
          <w:lang w:val="az-Latn-AZ"/>
        </w:rPr>
        <w:t xml:space="preserve"> dərman vasitəsinin qiymətinin yuxarı həddində dəyiş</w:t>
      </w:r>
      <w:r w:rsidR="0079267D" w:rsidRPr="00A145B0">
        <w:rPr>
          <w:rFonts w:ascii="Arial" w:eastAsia="Times New Roman" w:hAnsi="Arial" w:cs="Arial"/>
          <w:sz w:val="24"/>
          <w:szCs w:val="24"/>
          <w:lang w:val="az-Latn-AZ"/>
        </w:rPr>
        <w:t>ikliklər aparıl</w:t>
      </w:r>
      <w:r w:rsidR="001E2D78">
        <w:rPr>
          <w:rFonts w:ascii="Arial" w:eastAsia="Times New Roman" w:hAnsi="Arial" w:cs="Arial"/>
          <w:sz w:val="24"/>
          <w:szCs w:val="24"/>
          <w:lang w:val="az-Latn-AZ"/>
        </w:rPr>
        <w:t>ıb</w:t>
      </w:r>
      <w:r w:rsidR="0079267D" w:rsidRPr="00A145B0">
        <w:rPr>
          <w:rFonts w:ascii="Arial" w:eastAsia="Times New Roman" w:hAnsi="Arial" w:cs="Arial"/>
          <w:sz w:val="24"/>
          <w:szCs w:val="24"/>
          <w:lang w:val="az-Latn-AZ"/>
        </w:rPr>
        <w:t>.</w:t>
      </w:r>
    </w:p>
    <w:p w14:paraId="05831F93" w14:textId="6BD69C36" w:rsidR="00300790" w:rsidRPr="000F0835" w:rsidRDefault="00300790" w:rsidP="00004A35">
      <w:pPr>
        <w:widowControl w:val="0"/>
        <w:spacing w:after="60" w:line="276" w:lineRule="auto"/>
        <w:jc w:val="both"/>
        <w:rPr>
          <w:rFonts w:ascii="Arial" w:eastAsia="Times New Roman" w:hAnsi="Arial" w:cs="Arial"/>
          <w:sz w:val="24"/>
          <w:szCs w:val="24"/>
          <w:lang w:val="az-Latn-AZ"/>
        </w:rPr>
      </w:pPr>
      <w:r w:rsidRPr="00A145B0">
        <w:rPr>
          <w:rFonts w:ascii="Arial" w:eastAsia="Times New Roman" w:hAnsi="Arial" w:cs="Arial"/>
          <w:sz w:val="24"/>
          <w:szCs w:val="24"/>
          <w:lang w:val="az-Latn-AZ"/>
        </w:rPr>
        <w:t xml:space="preserve">Ticarət adı, farmasevtik forması, təsiredici maddəsinin adı, dozası, ticarət qablaşdırması, miqdarı, </w:t>
      </w:r>
      <w:r w:rsidRPr="000F0835">
        <w:rPr>
          <w:rFonts w:ascii="Arial" w:eastAsia="Times New Roman" w:hAnsi="Arial" w:cs="Arial"/>
          <w:sz w:val="24"/>
          <w:szCs w:val="24"/>
          <w:lang w:val="az-Latn-AZ"/>
        </w:rPr>
        <w:t>istehsal ölkəsi nəzərə alınmaqla, qiymətlərinin yuxarı həddi təsdiq edilmiş dərman vasitələrinin tam siyahısı Tarif (qiymət) Şurasının rəsmi internet saytının (</w:t>
      </w:r>
      <w:hyperlink r:id="rId6" w:history="1">
        <w:r w:rsidRPr="000F0835">
          <w:rPr>
            <w:rFonts w:ascii="Arial" w:eastAsia="Times New Roman" w:hAnsi="Arial" w:cs="Arial"/>
            <w:b/>
            <w:bCs/>
            <w:sz w:val="24"/>
            <w:szCs w:val="24"/>
            <w:lang w:val="az-Latn-AZ"/>
          </w:rPr>
          <w:t>www.tariff.gov.az</w:t>
        </w:r>
      </w:hyperlink>
      <w:r w:rsidRPr="000F0835">
        <w:rPr>
          <w:rFonts w:ascii="Arial" w:eastAsia="Times New Roman" w:hAnsi="Arial" w:cs="Arial"/>
          <w:sz w:val="24"/>
          <w:szCs w:val="24"/>
          <w:lang w:val="az-Latn-AZ"/>
        </w:rPr>
        <w:t>) “Dərman vasitələri” bölməsində (</w:t>
      </w:r>
      <w:hyperlink r:id="rId7" w:history="1">
        <w:r w:rsidRPr="000F0835">
          <w:rPr>
            <w:rFonts w:ascii="Arial" w:eastAsia="Times New Roman" w:hAnsi="Arial" w:cs="Arial"/>
            <w:b/>
            <w:bCs/>
            <w:sz w:val="24"/>
            <w:szCs w:val="24"/>
            <w:lang w:val="az-Latn-AZ"/>
          </w:rPr>
          <w:t>http://tariff.gov.az/documents/DVA.pdf</w:t>
        </w:r>
      </w:hyperlink>
      <w:r w:rsidRPr="000F0835">
        <w:rPr>
          <w:rFonts w:ascii="Arial" w:eastAsia="Times New Roman" w:hAnsi="Arial" w:cs="Arial"/>
          <w:sz w:val="24"/>
          <w:szCs w:val="24"/>
          <w:lang w:val="az-Latn-AZ"/>
        </w:rPr>
        <w:t>) yerləşdirilib.</w:t>
      </w:r>
    </w:p>
    <w:p w14:paraId="46E311A6" w14:textId="6718FE91" w:rsidR="00EB5EA1" w:rsidRPr="000F0835" w:rsidRDefault="00300790" w:rsidP="00EB5EA1">
      <w:pPr>
        <w:widowControl w:val="0"/>
        <w:spacing w:after="60" w:line="276" w:lineRule="auto"/>
        <w:jc w:val="both"/>
        <w:rPr>
          <w:rFonts w:ascii="Arial" w:eastAsia="Times New Roman" w:hAnsi="Arial" w:cs="Arial"/>
          <w:sz w:val="24"/>
          <w:szCs w:val="24"/>
          <w:lang w:val="az-Latn-AZ"/>
        </w:rPr>
      </w:pPr>
      <w:r w:rsidRPr="000F0835">
        <w:rPr>
          <w:rFonts w:ascii="Arial" w:eastAsia="Times New Roman" w:hAnsi="Arial" w:cs="Arial"/>
          <w:sz w:val="24"/>
          <w:szCs w:val="24"/>
          <w:lang w:val="az-Latn-AZ"/>
        </w:rPr>
        <w:t>Qərarlarla Tarif (qiymət) Şurasının rəsmi saytının (</w:t>
      </w:r>
      <w:hyperlink r:id="rId8" w:history="1">
        <w:r w:rsidRPr="000F0835">
          <w:rPr>
            <w:rFonts w:ascii="Arial" w:eastAsia="Times New Roman" w:hAnsi="Arial" w:cs="Arial"/>
            <w:b/>
            <w:bCs/>
            <w:sz w:val="24"/>
            <w:szCs w:val="24"/>
            <w:lang w:val="az-Latn-AZ"/>
          </w:rPr>
          <w:t>www.tariff.gov.az</w:t>
        </w:r>
      </w:hyperlink>
      <w:r w:rsidRPr="000F0835">
        <w:rPr>
          <w:rFonts w:ascii="Arial" w:eastAsia="Times New Roman" w:hAnsi="Arial" w:cs="Arial"/>
          <w:sz w:val="24"/>
          <w:szCs w:val="24"/>
          <w:lang w:val="az-Latn-AZ"/>
        </w:rPr>
        <w:t>) “Şuranın qərarları” bölməsində tanış olmaq olar.</w:t>
      </w:r>
    </w:p>
    <w:p w14:paraId="6CD23085" w14:textId="150C1839" w:rsidR="00EB5EA1" w:rsidRPr="000F0835" w:rsidRDefault="00EB5EA1" w:rsidP="00EB5EA1">
      <w:pPr>
        <w:widowControl w:val="0"/>
        <w:spacing w:after="60" w:line="276" w:lineRule="auto"/>
        <w:jc w:val="both"/>
        <w:rPr>
          <w:rFonts w:ascii="Arial" w:eastAsia="Times New Roman" w:hAnsi="Arial" w:cs="Arial"/>
          <w:b/>
          <w:bCs/>
          <w:sz w:val="24"/>
          <w:szCs w:val="24"/>
          <w:lang w:val="az-Latn-AZ"/>
        </w:rPr>
      </w:pPr>
      <w:r w:rsidRPr="000F0835">
        <w:rPr>
          <w:rFonts w:ascii="Arial" w:eastAsia="Times New Roman" w:hAnsi="Arial" w:cs="Arial"/>
          <w:b/>
          <w:bCs/>
          <w:sz w:val="24"/>
          <w:szCs w:val="24"/>
          <w:lang w:val="az-Latn-AZ"/>
        </w:rPr>
        <w:t xml:space="preserve">Qərarlar 2025-ci il 2 yanvar tarixindən qüvvəyə minir. </w:t>
      </w:r>
    </w:p>
    <w:p w14:paraId="49C6DB27" w14:textId="77777777" w:rsidR="00EB5EA1" w:rsidRPr="000F0835" w:rsidRDefault="00EB5EA1" w:rsidP="00004A35">
      <w:pPr>
        <w:widowControl w:val="0"/>
        <w:spacing w:after="60" w:line="276" w:lineRule="auto"/>
        <w:jc w:val="both"/>
        <w:rPr>
          <w:rFonts w:ascii="Arial" w:eastAsia="Times New Roman" w:hAnsi="Arial" w:cs="Arial"/>
          <w:sz w:val="24"/>
          <w:szCs w:val="24"/>
          <w:lang w:val="az-Latn-AZ"/>
        </w:rPr>
      </w:pPr>
    </w:p>
    <w:p w14:paraId="031BD8FC" w14:textId="5E5FFBD5" w:rsidR="00C943FF" w:rsidRPr="000F0835" w:rsidRDefault="00C943FF" w:rsidP="00004A35">
      <w:pPr>
        <w:widowControl w:val="0"/>
        <w:spacing w:after="60" w:line="276" w:lineRule="auto"/>
        <w:jc w:val="both"/>
        <w:rPr>
          <w:rFonts w:ascii="Arial" w:eastAsia="Times New Roman" w:hAnsi="Arial" w:cs="Arial"/>
          <w:sz w:val="4"/>
          <w:szCs w:val="4"/>
          <w:lang w:val="az-Latn-AZ"/>
        </w:rPr>
      </w:pPr>
    </w:p>
    <w:p w14:paraId="5FD7D0C2" w14:textId="5FA4C7C7" w:rsidR="005C12EE" w:rsidRPr="000F0835" w:rsidRDefault="005C12EE" w:rsidP="00004A35">
      <w:pPr>
        <w:widowControl w:val="0"/>
        <w:spacing w:after="60" w:line="276" w:lineRule="auto"/>
        <w:jc w:val="both"/>
        <w:rPr>
          <w:rFonts w:ascii="Arial" w:eastAsia="Times New Roman" w:hAnsi="Arial" w:cs="Arial"/>
          <w:b/>
          <w:sz w:val="24"/>
          <w:szCs w:val="24"/>
          <w:u w:val="single"/>
          <w:lang w:val="az-Latn-AZ"/>
        </w:rPr>
      </w:pPr>
      <w:r w:rsidRPr="000F0835">
        <w:rPr>
          <w:rFonts w:ascii="Arial" w:eastAsia="Times New Roman" w:hAnsi="Arial" w:cs="Arial"/>
          <w:b/>
          <w:sz w:val="24"/>
          <w:szCs w:val="24"/>
          <w:u w:val="single"/>
          <w:lang w:val="az-Latn-AZ"/>
        </w:rPr>
        <w:t>Cədvəl 1. Təbii qaz üzrə tariflərin müqayisəsi</w:t>
      </w:r>
    </w:p>
    <w:tbl>
      <w:tblPr>
        <w:tblW w:w="10055" w:type="dxa"/>
        <w:tblLayout w:type="fixed"/>
        <w:tblCellMar>
          <w:left w:w="0" w:type="dxa"/>
          <w:right w:w="0" w:type="dxa"/>
        </w:tblCellMar>
        <w:tblLook w:val="01E0" w:firstRow="1" w:lastRow="1" w:firstColumn="1" w:lastColumn="1" w:noHBand="0" w:noVBand="0"/>
      </w:tblPr>
      <w:tblGrid>
        <w:gridCol w:w="629"/>
        <w:gridCol w:w="7441"/>
        <w:gridCol w:w="992"/>
        <w:gridCol w:w="993"/>
      </w:tblGrid>
      <w:tr w:rsidR="000F0835" w:rsidRPr="00CA2475" w14:paraId="74A0486C" w14:textId="77777777" w:rsidTr="004154D3">
        <w:trPr>
          <w:trHeight w:val="430"/>
        </w:trPr>
        <w:tc>
          <w:tcPr>
            <w:tcW w:w="629" w:type="dxa"/>
            <w:vMerge w:val="restart"/>
            <w:tcBorders>
              <w:top w:val="single" w:sz="8" w:space="0" w:color="808080"/>
              <w:left w:val="single" w:sz="8" w:space="0" w:color="808080"/>
              <w:right w:val="single" w:sz="8" w:space="0" w:color="808080"/>
            </w:tcBorders>
            <w:vAlign w:val="center"/>
          </w:tcPr>
          <w:p w14:paraId="7946AB1C" w14:textId="77777777" w:rsidR="005C12EE" w:rsidRPr="000F0835" w:rsidRDefault="005C12EE" w:rsidP="00004A35">
            <w:pPr>
              <w:pStyle w:val="NoSpacing"/>
              <w:widowControl w:val="0"/>
              <w:spacing w:after="60"/>
              <w:jc w:val="center"/>
              <w:rPr>
                <w:rFonts w:ascii="Arial" w:hAnsi="Arial" w:cs="Arial"/>
                <w:b/>
                <w:lang w:val="az-Latn-AZ"/>
              </w:rPr>
            </w:pPr>
            <w:r w:rsidRPr="000F0835">
              <w:rPr>
                <w:rFonts w:ascii="Arial" w:hAnsi="Arial" w:cs="Arial"/>
                <w:b/>
                <w:lang w:val="az-Latn-AZ"/>
              </w:rPr>
              <w:t>№</w:t>
            </w:r>
          </w:p>
        </w:tc>
        <w:tc>
          <w:tcPr>
            <w:tcW w:w="7441" w:type="dxa"/>
            <w:vMerge w:val="restart"/>
            <w:tcBorders>
              <w:top w:val="single" w:sz="8" w:space="0" w:color="808080"/>
              <w:left w:val="single" w:sz="8" w:space="0" w:color="808080"/>
              <w:right w:val="single" w:sz="8" w:space="0" w:color="808080"/>
            </w:tcBorders>
            <w:vAlign w:val="center"/>
          </w:tcPr>
          <w:p w14:paraId="271F46E3" w14:textId="77777777" w:rsidR="005C12EE" w:rsidRPr="000F0835" w:rsidRDefault="005C12EE" w:rsidP="00004A35">
            <w:pPr>
              <w:pStyle w:val="NoSpacing"/>
              <w:widowControl w:val="0"/>
              <w:spacing w:after="60"/>
              <w:jc w:val="center"/>
              <w:rPr>
                <w:rFonts w:ascii="Arial" w:hAnsi="Arial" w:cs="Arial"/>
                <w:b/>
                <w:lang w:val="az-Latn-AZ"/>
              </w:rPr>
            </w:pPr>
            <w:r w:rsidRPr="000F0835">
              <w:rPr>
                <w:rFonts w:ascii="Arial" w:hAnsi="Arial" w:cs="Arial"/>
                <w:b/>
                <w:lang w:val="az-Latn-AZ"/>
              </w:rPr>
              <w:t>Göstəricilər</w:t>
            </w:r>
          </w:p>
        </w:tc>
        <w:tc>
          <w:tcPr>
            <w:tcW w:w="1985" w:type="dxa"/>
            <w:gridSpan w:val="2"/>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75EF33B9" w14:textId="77777777" w:rsidR="005C12EE" w:rsidRPr="000F0835" w:rsidRDefault="005C12EE" w:rsidP="00004A35">
            <w:pPr>
              <w:pStyle w:val="NoSpacing"/>
              <w:widowControl w:val="0"/>
              <w:spacing w:after="60"/>
              <w:jc w:val="center"/>
              <w:rPr>
                <w:rFonts w:ascii="Arial" w:hAnsi="Arial" w:cs="Arial"/>
                <w:b/>
                <w:bCs/>
                <w:lang w:val="az-Latn-AZ"/>
              </w:rPr>
            </w:pPr>
            <w:r w:rsidRPr="000F0835">
              <w:rPr>
                <w:rStyle w:val="Strong"/>
                <w:rFonts w:ascii="Arial" w:hAnsi="Arial" w:cs="Arial"/>
                <w:b w:val="0"/>
                <w:shd w:val="clear" w:color="auto" w:fill="FFFFFF"/>
                <w:lang w:val="az-Latn-AZ"/>
              </w:rPr>
              <w:t>Tariflər (qəpik/m</w:t>
            </w:r>
            <w:r w:rsidRPr="000F0835">
              <w:rPr>
                <w:rStyle w:val="Strong"/>
                <w:rFonts w:ascii="Arial" w:hAnsi="Arial" w:cs="Arial"/>
                <w:b w:val="0"/>
                <w:shd w:val="clear" w:color="auto" w:fill="FFFFFF"/>
                <w:vertAlign w:val="superscript"/>
                <w:lang w:val="az-Latn-AZ"/>
              </w:rPr>
              <w:t>3</w:t>
            </w:r>
            <w:r w:rsidRPr="000F0835">
              <w:rPr>
                <w:rStyle w:val="Strong"/>
                <w:rFonts w:ascii="Arial" w:hAnsi="Arial" w:cs="Arial"/>
                <w:b w:val="0"/>
                <w:shd w:val="clear" w:color="auto" w:fill="FFFFFF"/>
                <w:lang w:val="az-Latn-AZ"/>
              </w:rPr>
              <w:t>, ƏDV ilə)</w:t>
            </w:r>
          </w:p>
        </w:tc>
      </w:tr>
      <w:tr w:rsidR="000F0835" w:rsidRPr="000F0835" w14:paraId="48AEA824" w14:textId="77777777" w:rsidTr="004154D3">
        <w:trPr>
          <w:trHeight w:val="394"/>
        </w:trPr>
        <w:tc>
          <w:tcPr>
            <w:tcW w:w="629" w:type="dxa"/>
            <w:vMerge/>
            <w:tcBorders>
              <w:left w:val="single" w:sz="8" w:space="0" w:color="808080"/>
              <w:bottom w:val="single" w:sz="8" w:space="0" w:color="808080"/>
              <w:right w:val="single" w:sz="8" w:space="0" w:color="808080"/>
            </w:tcBorders>
            <w:vAlign w:val="center"/>
            <w:hideMark/>
          </w:tcPr>
          <w:p w14:paraId="44076021" w14:textId="77777777" w:rsidR="005C12EE" w:rsidRPr="000F0835" w:rsidRDefault="005C12EE" w:rsidP="00004A35">
            <w:pPr>
              <w:pStyle w:val="NoSpacing"/>
              <w:widowControl w:val="0"/>
              <w:spacing w:after="60"/>
              <w:jc w:val="center"/>
              <w:rPr>
                <w:rFonts w:ascii="Arial" w:hAnsi="Arial" w:cs="Arial"/>
                <w:b/>
                <w:lang w:val="az-Latn-AZ"/>
              </w:rPr>
            </w:pPr>
          </w:p>
        </w:tc>
        <w:tc>
          <w:tcPr>
            <w:tcW w:w="7441" w:type="dxa"/>
            <w:vMerge/>
            <w:tcBorders>
              <w:left w:val="single" w:sz="8" w:space="0" w:color="808080"/>
              <w:bottom w:val="single" w:sz="8" w:space="0" w:color="808080"/>
              <w:right w:val="single" w:sz="8" w:space="0" w:color="808080"/>
            </w:tcBorders>
            <w:vAlign w:val="center"/>
            <w:hideMark/>
          </w:tcPr>
          <w:p w14:paraId="69FFA66E" w14:textId="77777777" w:rsidR="005C12EE" w:rsidRPr="000F0835" w:rsidRDefault="005C12EE" w:rsidP="00004A35">
            <w:pPr>
              <w:pStyle w:val="NoSpacing"/>
              <w:widowControl w:val="0"/>
              <w:spacing w:after="60"/>
              <w:rPr>
                <w:rFonts w:ascii="Arial" w:hAnsi="Arial" w:cs="Arial"/>
                <w:b/>
                <w:lang w:val="az-Latn-AZ"/>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0FA0BF01" w14:textId="0116B830" w:rsidR="005C12EE" w:rsidRPr="000F0835" w:rsidRDefault="003B7BAA" w:rsidP="00004A35">
            <w:pPr>
              <w:pStyle w:val="NoSpacing"/>
              <w:widowControl w:val="0"/>
              <w:spacing w:after="60"/>
              <w:jc w:val="center"/>
              <w:rPr>
                <w:rFonts w:ascii="Arial" w:hAnsi="Arial" w:cs="Arial"/>
                <w:b/>
                <w:lang w:val="az-Latn-AZ"/>
              </w:rPr>
            </w:pPr>
            <w:r w:rsidRPr="000F0835">
              <w:rPr>
                <w:rFonts w:ascii="Arial" w:hAnsi="Arial" w:cs="Arial"/>
                <w:b/>
                <w:bCs/>
                <w:lang w:val="az-Latn-AZ"/>
              </w:rPr>
              <w:t>Əvvəlki</w:t>
            </w:r>
            <w:r w:rsidR="005C12EE" w:rsidRPr="000F0835">
              <w:rPr>
                <w:rFonts w:ascii="Arial" w:hAnsi="Arial" w:cs="Arial"/>
                <w:b/>
                <w:bCs/>
                <w:lang w:val="az-Latn-AZ"/>
              </w:rPr>
              <w:t xml:space="preserve"> </w:t>
            </w:r>
          </w:p>
        </w:tc>
        <w:tc>
          <w:tcPr>
            <w:tcW w:w="99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CC3234" w14:textId="77777777" w:rsidR="005C12EE" w:rsidRPr="000F0835" w:rsidRDefault="005C12EE" w:rsidP="00004A35">
            <w:pPr>
              <w:pStyle w:val="NoSpacing"/>
              <w:widowControl w:val="0"/>
              <w:spacing w:after="60"/>
              <w:jc w:val="center"/>
              <w:rPr>
                <w:rFonts w:ascii="Arial" w:hAnsi="Arial" w:cs="Arial"/>
                <w:b/>
                <w:lang w:val="az-Latn-AZ"/>
              </w:rPr>
            </w:pPr>
            <w:r w:rsidRPr="000F0835">
              <w:rPr>
                <w:rFonts w:ascii="Arial" w:hAnsi="Arial" w:cs="Arial"/>
                <w:b/>
                <w:bCs/>
                <w:lang w:val="az-Latn-AZ"/>
              </w:rPr>
              <w:t xml:space="preserve">Yeni </w:t>
            </w:r>
          </w:p>
        </w:tc>
      </w:tr>
      <w:tr w:rsidR="000F0835" w:rsidRPr="000F0835" w14:paraId="3BF0FE18"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6F755035"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0292E703" w14:textId="77777777" w:rsidR="005C12EE" w:rsidRPr="000F0835" w:rsidRDefault="005C12EE" w:rsidP="005F24FF">
            <w:pPr>
              <w:pStyle w:val="NoSpacing"/>
              <w:widowControl w:val="0"/>
              <w:spacing w:after="60"/>
              <w:ind w:left="59" w:right="34"/>
              <w:jc w:val="both"/>
              <w:rPr>
                <w:rFonts w:ascii="Arial" w:hAnsi="Arial" w:cs="Arial"/>
                <w:lang w:val="az-Latn-AZ"/>
              </w:rPr>
            </w:pPr>
            <w:r w:rsidRPr="000F0835">
              <w:rPr>
                <w:rFonts w:ascii="Arial" w:hAnsi="Arial" w:cs="Arial"/>
                <w:lang w:val="az-Latn-AZ"/>
              </w:rPr>
              <w:t>Təbii qazın pərakəndə satışı</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8B504FA"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338CCF14"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130F1E80" w14:textId="77777777" w:rsidTr="004154D3">
        <w:trPr>
          <w:trHeight w:val="34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2750B1AB"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1.1.</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DBCA384" w14:textId="77777777" w:rsidR="005C12EE" w:rsidRPr="0059248A" w:rsidRDefault="005C12EE" w:rsidP="005F24FF">
            <w:pPr>
              <w:pStyle w:val="NoSpacing"/>
              <w:widowControl w:val="0"/>
              <w:spacing w:after="60"/>
              <w:ind w:left="59" w:right="34"/>
              <w:jc w:val="both"/>
              <w:rPr>
                <w:rFonts w:ascii="Arial" w:hAnsi="Arial" w:cs="Arial"/>
                <w:b/>
                <w:bCs/>
                <w:lang w:val="az-Latn-AZ"/>
              </w:rPr>
            </w:pPr>
            <w:r w:rsidRPr="0059248A">
              <w:rPr>
                <w:rFonts w:ascii="Arial" w:hAnsi="Arial" w:cs="Arial"/>
                <w:b/>
                <w:bCs/>
                <w:lang w:val="az-Latn-AZ"/>
              </w:rPr>
              <w:t>Əhali</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28D9FA36"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4D60BBBD"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1B84DEC4"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4611CA00"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1.1.1.</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337F3000" w14:textId="77777777" w:rsidR="005C12EE" w:rsidRPr="0059248A" w:rsidRDefault="005C12EE" w:rsidP="00004A35">
            <w:pPr>
              <w:pStyle w:val="NoSpacing"/>
              <w:widowControl w:val="0"/>
              <w:spacing w:after="60"/>
              <w:ind w:left="192" w:right="34"/>
              <w:jc w:val="both"/>
              <w:rPr>
                <w:rFonts w:ascii="Arial" w:hAnsi="Arial" w:cs="Arial"/>
                <w:b/>
                <w:bCs/>
                <w:lang w:val="az-Latn-AZ"/>
              </w:rPr>
            </w:pPr>
            <w:r w:rsidRPr="0059248A">
              <w:rPr>
                <w:rFonts w:ascii="Arial" w:hAnsi="Arial" w:cs="Arial"/>
                <w:b/>
                <w:bCs/>
                <w:lang w:val="az-Latn-AZ"/>
              </w:rPr>
              <w:t>illik istehlak həcminin 1200 m</w:t>
            </w:r>
            <w:r w:rsidRPr="0059248A">
              <w:rPr>
                <w:rFonts w:ascii="Arial" w:hAnsi="Arial" w:cs="Arial"/>
                <w:b/>
                <w:bCs/>
                <w:vertAlign w:val="superscript"/>
                <w:lang w:val="az-Latn-AZ"/>
              </w:rPr>
              <w:t>3</w:t>
            </w:r>
            <w:r w:rsidRPr="0059248A">
              <w:rPr>
                <w:rFonts w:ascii="Arial" w:hAnsi="Arial" w:cs="Arial"/>
                <w:b/>
                <w:bCs/>
                <w:lang w:val="az-Latn-AZ"/>
              </w:rPr>
              <w:t>-dək (1200 m</w:t>
            </w:r>
            <w:r w:rsidRPr="0059248A">
              <w:rPr>
                <w:rFonts w:ascii="Arial" w:hAnsi="Arial" w:cs="Arial"/>
                <w:b/>
                <w:bCs/>
                <w:vertAlign w:val="superscript"/>
                <w:lang w:val="az-Latn-AZ"/>
              </w:rPr>
              <w:t>3</w:t>
            </w:r>
            <w:r w:rsidRPr="0059248A">
              <w:rPr>
                <w:rFonts w:ascii="Arial" w:hAnsi="Arial" w:cs="Arial"/>
                <w:b/>
                <w:bCs/>
                <w:lang w:val="az-Latn-AZ"/>
              </w:rPr>
              <w:t xml:space="preserve"> daxil) olan hissəsi üçün</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31614D36"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12,0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7CDBE8F4" w14:textId="77777777" w:rsidR="005C12EE" w:rsidRPr="0059248A" w:rsidRDefault="005C12EE" w:rsidP="00004A35">
            <w:pPr>
              <w:pStyle w:val="NoSpacing"/>
              <w:widowControl w:val="0"/>
              <w:spacing w:after="60"/>
              <w:jc w:val="center"/>
              <w:rPr>
                <w:rFonts w:ascii="Arial" w:hAnsi="Arial" w:cs="Arial"/>
                <w:b/>
                <w:bCs/>
                <w:lang w:val="az-Latn-AZ"/>
              </w:rPr>
            </w:pPr>
            <w:r w:rsidRPr="0059248A">
              <w:rPr>
                <w:rFonts w:ascii="Arial" w:hAnsi="Arial" w:cs="Arial"/>
                <w:b/>
                <w:bCs/>
                <w:iCs/>
                <w:lang w:val="az-Latn-AZ"/>
              </w:rPr>
              <w:t>12,5</w:t>
            </w:r>
          </w:p>
        </w:tc>
      </w:tr>
      <w:tr w:rsidR="000F0835" w:rsidRPr="000F0835" w14:paraId="0637A953"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362BE13"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1.1.2.</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0E22B393" w14:textId="02A32594" w:rsidR="005C12EE" w:rsidRPr="0059248A" w:rsidRDefault="005C12EE" w:rsidP="00004A35">
            <w:pPr>
              <w:pStyle w:val="NoSpacing"/>
              <w:widowControl w:val="0"/>
              <w:spacing w:after="60"/>
              <w:ind w:left="192" w:right="34"/>
              <w:jc w:val="both"/>
              <w:rPr>
                <w:rFonts w:ascii="Arial" w:hAnsi="Arial" w:cs="Arial"/>
                <w:b/>
                <w:bCs/>
                <w:lang w:val="az-Latn-AZ"/>
              </w:rPr>
            </w:pPr>
            <w:r w:rsidRPr="0059248A">
              <w:rPr>
                <w:rFonts w:ascii="Arial" w:hAnsi="Arial" w:cs="Arial"/>
                <w:b/>
                <w:bCs/>
                <w:lang w:val="az-Latn-AZ"/>
              </w:rPr>
              <w:t>illik istehlak həcminin 1200 - 2500 m</w:t>
            </w:r>
            <w:r w:rsidRPr="0059248A">
              <w:rPr>
                <w:rFonts w:ascii="Arial" w:hAnsi="Arial" w:cs="Arial"/>
                <w:b/>
                <w:bCs/>
                <w:vertAlign w:val="superscript"/>
                <w:lang w:val="az-Latn-AZ"/>
              </w:rPr>
              <w:t>3</w:t>
            </w:r>
            <w:r w:rsidRPr="0059248A">
              <w:rPr>
                <w:rFonts w:ascii="Arial" w:hAnsi="Arial" w:cs="Arial"/>
                <w:b/>
                <w:bCs/>
                <w:lang w:val="az-Latn-AZ"/>
              </w:rPr>
              <w:t>-dək (2500 m</w:t>
            </w:r>
            <w:r w:rsidRPr="0059248A">
              <w:rPr>
                <w:rFonts w:ascii="Arial" w:hAnsi="Arial" w:cs="Arial"/>
                <w:b/>
                <w:bCs/>
                <w:vertAlign w:val="superscript"/>
                <w:lang w:val="az-Latn-AZ"/>
              </w:rPr>
              <w:t>3</w:t>
            </w:r>
            <w:r w:rsidRPr="0059248A">
              <w:rPr>
                <w:rFonts w:ascii="Arial" w:hAnsi="Arial" w:cs="Arial"/>
                <w:b/>
                <w:bCs/>
                <w:lang w:val="az-Latn-AZ"/>
              </w:rPr>
              <w:t xml:space="preserve"> daxil)</w:t>
            </w:r>
            <w:r w:rsidR="005A19FC" w:rsidRPr="0059248A">
              <w:rPr>
                <w:rFonts w:ascii="Arial" w:hAnsi="Arial" w:cs="Arial"/>
                <w:b/>
                <w:bCs/>
                <w:lang w:val="az-Latn-AZ"/>
              </w:rPr>
              <w:t xml:space="preserve"> </w:t>
            </w:r>
            <w:r w:rsidRPr="0059248A">
              <w:rPr>
                <w:rFonts w:ascii="Arial" w:hAnsi="Arial" w:cs="Arial"/>
                <w:b/>
                <w:bCs/>
                <w:lang w:val="az-Latn-AZ"/>
              </w:rPr>
              <w:t>hissəsi üçün</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644FCB9E"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20,0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64435599" w14:textId="77777777" w:rsidR="005C12EE" w:rsidRPr="0059248A" w:rsidRDefault="005C12EE" w:rsidP="00004A35">
            <w:pPr>
              <w:pStyle w:val="NoSpacing"/>
              <w:widowControl w:val="0"/>
              <w:spacing w:after="60"/>
              <w:jc w:val="center"/>
              <w:rPr>
                <w:rFonts w:ascii="Arial" w:hAnsi="Arial" w:cs="Arial"/>
                <w:b/>
                <w:bCs/>
                <w:lang w:val="az-Latn-AZ"/>
              </w:rPr>
            </w:pPr>
            <w:r w:rsidRPr="0059248A">
              <w:rPr>
                <w:rFonts w:ascii="Arial" w:hAnsi="Arial" w:cs="Arial"/>
                <w:b/>
                <w:bCs/>
                <w:iCs/>
                <w:lang w:val="az-Latn-AZ"/>
              </w:rPr>
              <w:t>22,0</w:t>
            </w:r>
          </w:p>
        </w:tc>
      </w:tr>
      <w:tr w:rsidR="000F0835" w:rsidRPr="000F0835" w14:paraId="48C553F1"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2067875B"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1.1.3.</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3EC07C5C" w14:textId="77777777" w:rsidR="005C12EE" w:rsidRPr="0059248A" w:rsidRDefault="005C12EE" w:rsidP="00004A35">
            <w:pPr>
              <w:pStyle w:val="NoSpacing"/>
              <w:widowControl w:val="0"/>
              <w:spacing w:after="60"/>
              <w:ind w:left="192" w:right="34"/>
              <w:jc w:val="both"/>
              <w:rPr>
                <w:rFonts w:ascii="Arial" w:hAnsi="Arial" w:cs="Arial"/>
                <w:b/>
                <w:bCs/>
                <w:lang w:val="az-Latn-AZ"/>
              </w:rPr>
            </w:pPr>
            <w:r w:rsidRPr="0059248A">
              <w:rPr>
                <w:rFonts w:ascii="Arial" w:hAnsi="Arial" w:cs="Arial"/>
                <w:b/>
                <w:bCs/>
                <w:lang w:val="az-Latn-AZ"/>
              </w:rPr>
              <w:t>illik istehlak həcminin 2500 m</w:t>
            </w:r>
            <w:r w:rsidRPr="0059248A">
              <w:rPr>
                <w:rFonts w:ascii="Arial" w:hAnsi="Arial" w:cs="Arial"/>
                <w:b/>
                <w:bCs/>
                <w:vertAlign w:val="superscript"/>
                <w:lang w:val="az-Latn-AZ"/>
              </w:rPr>
              <w:t>3</w:t>
            </w:r>
            <w:r w:rsidRPr="0059248A">
              <w:rPr>
                <w:rFonts w:ascii="Arial" w:hAnsi="Arial" w:cs="Arial"/>
                <w:b/>
                <w:bCs/>
                <w:lang w:val="az-Latn-AZ"/>
              </w:rPr>
              <w:t>-dən çox olan hissəsi üçün</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796FA824"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iCs/>
                <w:lang w:val="az-Latn-AZ"/>
              </w:rPr>
              <w:t>25,0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4B925B4C" w14:textId="77777777" w:rsidR="005C12EE" w:rsidRPr="0059248A" w:rsidRDefault="005C12EE" w:rsidP="00004A35">
            <w:pPr>
              <w:pStyle w:val="NoSpacing"/>
              <w:widowControl w:val="0"/>
              <w:spacing w:after="60"/>
              <w:jc w:val="center"/>
              <w:rPr>
                <w:rFonts w:ascii="Arial" w:hAnsi="Arial" w:cs="Arial"/>
                <w:b/>
                <w:bCs/>
                <w:lang w:val="az-Latn-AZ"/>
              </w:rPr>
            </w:pPr>
            <w:r w:rsidRPr="0059248A">
              <w:rPr>
                <w:rFonts w:ascii="Arial" w:hAnsi="Arial" w:cs="Arial"/>
                <w:b/>
                <w:bCs/>
                <w:iCs/>
                <w:lang w:val="az-Latn-AZ"/>
              </w:rPr>
              <w:t>30,0</w:t>
            </w:r>
          </w:p>
        </w:tc>
      </w:tr>
      <w:tr w:rsidR="000F0835" w:rsidRPr="000F0835" w14:paraId="1144521E"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5321C84" w14:textId="77777777" w:rsidR="005C12EE" w:rsidRPr="000F0835" w:rsidRDefault="005C12EE" w:rsidP="00004A35">
            <w:pPr>
              <w:pStyle w:val="NoSpacing"/>
              <w:widowControl w:val="0"/>
              <w:spacing w:after="60"/>
              <w:rPr>
                <w:rFonts w:ascii="Arial" w:hAnsi="Arial" w:cs="Arial"/>
                <w:lang w:val="az-Latn-AZ"/>
              </w:rPr>
            </w:pPr>
            <w:r w:rsidRPr="000F0835">
              <w:rPr>
                <w:rFonts w:ascii="Arial" w:hAnsi="Arial" w:cs="Arial"/>
                <w:lang w:val="az-Latn-AZ"/>
              </w:rPr>
              <w:t>1.2.</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7E7CD73B" w14:textId="77777777" w:rsidR="005C12EE" w:rsidRPr="0059248A" w:rsidRDefault="005C12EE" w:rsidP="00F56B51">
            <w:pPr>
              <w:pStyle w:val="NoSpacing"/>
              <w:widowControl w:val="0"/>
              <w:spacing w:after="60"/>
              <w:ind w:left="59" w:right="34"/>
              <w:jc w:val="both"/>
              <w:rPr>
                <w:rFonts w:ascii="Arial" w:hAnsi="Arial" w:cs="Arial"/>
                <w:b/>
                <w:bCs/>
                <w:lang w:val="az-Latn-AZ"/>
              </w:rPr>
            </w:pPr>
            <w:r w:rsidRPr="0059248A">
              <w:rPr>
                <w:rFonts w:ascii="Arial" w:hAnsi="Arial" w:cs="Arial"/>
                <w:b/>
                <w:bCs/>
                <w:lang w:val="az-Latn-AZ"/>
              </w:rPr>
              <w:t>Qeyri-əhali</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1659E620"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11DE1E7D"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6677939E" w14:textId="77777777" w:rsidTr="004154D3">
        <w:trPr>
          <w:trHeight w:val="736"/>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050EFEED"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1.2.1.</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2B567C27" w14:textId="77777777" w:rsidR="005C12EE" w:rsidRPr="000F0835" w:rsidRDefault="005C12EE" w:rsidP="00004A35">
            <w:pPr>
              <w:pStyle w:val="NoSpacing"/>
              <w:widowControl w:val="0"/>
              <w:spacing w:after="60"/>
              <w:ind w:left="192" w:right="34"/>
              <w:jc w:val="both"/>
              <w:rPr>
                <w:rFonts w:ascii="Arial" w:hAnsi="Arial" w:cs="Arial"/>
                <w:lang w:val="az-Latn-AZ"/>
              </w:rPr>
            </w:pPr>
            <w:r w:rsidRPr="000F0835">
              <w:rPr>
                <w:rFonts w:ascii="Arial" w:hAnsi="Arial" w:cs="Arial"/>
                <w:lang w:val="az-Latn-AZ"/>
              </w:rPr>
              <w:t>çoxmənzilli yaşayış binalarının mərkəzi isitmə və isti su ilə təchiz edilməsi məqsədilə təşkilati-hüquqi formasından asılı olmayaraq hüquqi və fiziki şəxslər və “Azəristiliktəchizat” Açıq Səhmdar Cəmiyyəti</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2FE5A488"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16,5</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17E5D05F"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16,5</w:t>
            </w:r>
          </w:p>
        </w:tc>
      </w:tr>
      <w:tr w:rsidR="000F0835" w:rsidRPr="000F0835" w14:paraId="4F99B7CA"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1466FCB4"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1.2.2.</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4DF932DF" w14:textId="77777777" w:rsidR="005C12EE" w:rsidRPr="000F0835" w:rsidRDefault="005C12EE" w:rsidP="00004A35">
            <w:pPr>
              <w:pStyle w:val="NoSpacing"/>
              <w:widowControl w:val="0"/>
              <w:spacing w:after="60"/>
              <w:ind w:left="192" w:right="34"/>
              <w:jc w:val="both"/>
              <w:rPr>
                <w:rFonts w:ascii="Arial" w:hAnsi="Arial" w:cs="Arial"/>
                <w:lang w:val="az-Latn-AZ"/>
              </w:rPr>
            </w:pPr>
            <w:r w:rsidRPr="000F0835">
              <w:rPr>
                <w:rFonts w:ascii="Arial" w:hAnsi="Arial" w:cs="Arial"/>
                <w:lang w:val="az-Latn-AZ"/>
              </w:rPr>
              <w:t>sıxılmış təbii qazın (CNG) satışını həyata keçirən qazdoldurma məntəqələri</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6C2178A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16,5</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B1F01ED"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18,5</w:t>
            </w:r>
          </w:p>
        </w:tc>
      </w:tr>
      <w:tr w:rsidR="000F0835" w:rsidRPr="000F0835" w14:paraId="124F4B20"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572CA04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1.2.3.</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660E23E7" w14:textId="77777777" w:rsidR="005C12EE" w:rsidRPr="000F0835" w:rsidRDefault="005C12EE" w:rsidP="00004A35">
            <w:pPr>
              <w:pStyle w:val="NoSpacing"/>
              <w:widowControl w:val="0"/>
              <w:spacing w:after="60"/>
              <w:ind w:left="192" w:right="34"/>
              <w:jc w:val="both"/>
              <w:rPr>
                <w:rFonts w:ascii="Arial" w:hAnsi="Arial" w:cs="Arial"/>
                <w:lang w:val="az-Latn-AZ"/>
              </w:rPr>
            </w:pPr>
            <w:r w:rsidRPr="000F0835">
              <w:rPr>
                <w:rFonts w:ascii="Arial" w:hAnsi="Arial" w:cs="Arial"/>
                <w:lang w:val="az-Latn-AZ"/>
              </w:rPr>
              <w:t>metanol və karbamid məhsullarının istehsalında xammal kimi istifadə məqsədilə</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478439C5"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20,0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36A92723"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20,5</w:t>
            </w:r>
          </w:p>
        </w:tc>
      </w:tr>
      <w:tr w:rsidR="000F0835" w:rsidRPr="000F0835" w14:paraId="0F362D05"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0701C333"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1.2.4.</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69AA3452" w14:textId="77777777" w:rsidR="005C12EE" w:rsidRPr="0059248A" w:rsidRDefault="005C12EE" w:rsidP="00004A35">
            <w:pPr>
              <w:pStyle w:val="NoSpacing"/>
              <w:widowControl w:val="0"/>
              <w:spacing w:after="60"/>
              <w:ind w:left="192" w:right="34"/>
              <w:jc w:val="both"/>
              <w:rPr>
                <w:rFonts w:ascii="Arial" w:hAnsi="Arial" w:cs="Arial"/>
                <w:b/>
                <w:bCs/>
                <w:lang w:val="az-Latn-AZ"/>
              </w:rPr>
            </w:pPr>
            <w:r w:rsidRPr="0059248A">
              <w:rPr>
                <w:rFonts w:ascii="Arial" w:hAnsi="Arial" w:cs="Arial"/>
                <w:b/>
                <w:bCs/>
                <w:lang w:val="az-Latn-AZ"/>
              </w:rPr>
              <w:t>sənaye və kənd təsərrüfatı sahələri</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41A621D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22,0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1D6D8FE6" w14:textId="77777777" w:rsidR="005C12EE" w:rsidRPr="0059248A" w:rsidRDefault="005C12EE" w:rsidP="00004A35">
            <w:pPr>
              <w:pStyle w:val="NoSpacing"/>
              <w:widowControl w:val="0"/>
              <w:spacing w:after="60"/>
              <w:jc w:val="center"/>
              <w:rPr>
                <w:rFonts w:ascii="Arial" w:hAnsi="Arial" w:cs="Arial"/>
                <w:b/>
                <w:bCs/>
                <w:lang w:val="az-Latn-AZ"/>
              </w:rPr>
            </w:pPr>
            <w:r w:rsidRPr="0059248A">
              <w:rPr>
                <w:rFonts w:ascii="Arial" w:hAnsi="Arial" w:cs="Arial"/>
                <w:b/>
                <w:bCs/>
                <w:lang w:val="az-Latn-AZ"/>
              </w:rPr>
              <w:t>24,0</w:t>
            </w:r>
          </w:p>
        </w:tc>
      </w:tr>
      <w:tr w:rsidR="000F0835" w:rsidRPr="000F0835" w14:paraId="31D7E7B3"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2C69D0B7"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1.2.5.</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7278C349" w14:textId="77777777" w:rsidR="005C12EE" w:rsidRPr="000F0835" w:rsidRDefault="005C12EE" w:rsidP="00004A35">
            <w:pPr>
              <w:pStyle w:val="NoSpacing"/>
              <w:widowControl w:val="0"/>
              <w:spacing w:after="60"/>
              <w:ind w:left="192" w:right="34"/>
              <w:jc w:val="both"/>
              <w:rPr>
                <w:rFonts w:ascii="Arial" w:hAnsi="Arial" w:cs="Arial"/>
                <w:lang w:val="az-Latn-AZ"/>
              </w:rPr>
            </w:pPr>
            <w:r w:rsidRPr="000F0835">
              <w:rPr>
                <w:rFonts w:ascii="Arial" w:hAnsi="Arial" w:cs="Arial"/>
                <w:lang w:val="az-Latn-AZ"/>
              </w:rPr>
              <w:t>digər sahələr</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1DE8BA50"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25,0</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hideMark/>
          </w:tcPr>
          <w:p w14:paraId="04404D08"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28,5</w:t>
            </w:r>
          </w:p>
        </w:tc>
      </w:tr>
      <w:tr w:rsidR="000F0835" w:rsidRPr="000F0835" w14:paraId="2534BD59" w14:textId="77777777" w:rsidTr="004154D3">
        <w:trPr>
          <w:trHeight w:val="293"/>
        </w:trPr>
        <w:tc>
          <w:tcPr>
            <w:tcW w:w="629"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42E095EB"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2.</w:t>
            </w:r>
          </w:p>
        </w:tc>
        <w:tc>
          <w:tcPr>
            <w:tcW w:w="7441"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3CE434AF" w14:textId="77777777" w:rsidR="005C12EE" w:rsidRPr="000F0835" w:rsidRDefault="005C12EE" w:rsidP="005F24FF">
            <w:pPr>
              <w:pStyle w:val="NoSpacing"/>
              <w:widowControl w:val="0"/>
              <w:spacing w:after="60"/>
              <w:ind w:left="59" w:right="34"/>
              <w:jc w:val="both"/>
              <w:rPr>
                <w:rFonts w:ascii="Arial" w:hAnsi="Arial" w:cs="Arial"/>
                <w:lang w:val="az-Latn-AZ"/>
              </w:rPr>
            </w:pPr>
            <w:r w:rsidRPr="000F0835">
              <w:rPr>
                <w:rFonts w:ascii="Arial" w:hAnsi="Arial" w:cs="Arial"/>
                <w:lang w:val="az-Latn-AZ"/>
              </w:rPr>
              <w:t>Magistral qaz kəmərlərinə birbaşa qoşulmaqla ölkə daxilində satılan elektrik enerjisinin (bu qərarın 5-ci bəndində göstərilən istehlakçılar istisna olmaqla) istehsalı məqsədləri üçün (aylıq istehlakı 10 milyon m</w:t>
            </w:r>
            <w:r w:rsidRPr="000F0835">
              <w:rPr>
                <w:rFonts w:ascii="Arial" w:hAnsi="Arial" w:cs="Arial"/>
                <w:vertAlign w:val="superscript"/>
                <w:lang w:val="az-Latn-AZ"/>
              </w:rPr>
              <w:t>3</w:t>
            </w:r>
            <w:r w:rsidRPr="000F0835">
              <w:rPr>
                <w:rFonts w:ascii="Arial" w:hAnsi="Arial" w:cs="Arial"/>
                <w:lang w:val="az-Latn-AZ"/>
              </w:rPr>
              <w:t>-dən az olmamaq şərti ilə)</w:t>
            </w:r>
          </w:p>
        </w:tc>
        <w:tc>
          <w:tcPr>
            <w:tcW w:w="992"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19C5EF06"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16,5</w:t>
            </w:r>
          </w:p>
        </w:tc>
        <w:tc>
          <w:tcPr>
            <w:tcW w:w="993" w:type="dxa"/>
            <w:tcBorders>
              <w:top w:val="single" w:sz="8" w:space="0" w:color="808080"/>
              <w:left w:val="single" w:sz="8" w:space="0" w:color="808080"/>
              <w:bottom w:val="single" w:sz="8" w:space="0" w:color="808080"/>
              <w:right w:val="single" w:sz="8" w:space="0" w:color="808080"/>
            </w:tcBorders>
            <w:shd w:val="clear" w:color="auto" w:fill="auto"/>
            <w:tcMar>
              <w:top w:w="15" w:type="dxa"/>
              <w:left w:w="15" w:type="dxa"/>
              <w:bottom w:w="0" w:type="dxa"/>
              <w:right w:w="15" w:type="dxa"/>
            </w:tcMar>
            <w:vAlign w:val="center"/>
          </w:tcPr>
          <w:p w14:paraId="596F7DA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18,5</w:t>
            </w:r>
          </w:p>
        </w:tc>
      </w:tr>
    </w:tbl>
    <w:p w14:paraId="25F55EC4" w14:textId="77777777" w:rsidR="001E2D78" w:rsidRDefault="001E2D78" w:rsidP="00004A35">
      <w:pPr>
        <w:widowControl w:val="0"/>
        <w:spacing w:after="60" w:line="276" w:lineRule="auto"/>
        <w:jc w:val="both"/>
        <w:rPr>
          <w:rFonts w:ascii="Arial" w:eastAsia="Times New Roman" w:hAnsi="Arial" w:cs="Arial"/>
          <w:b/>
          <w:bCs/>
          <w:sz w:val="24"/>
          <w:szCs w:val="24"/>
          <w:u w:val="single"/>
          <w:lang w:val="az-Latn-AZ"/>
        </w:rPr>
      </w:pPr>
    </w:p>
    <w:p w14:paraId="02A294B2" w14:textId="6A8FB3E6" w:rsidR="005C12EE" w:rsidRPr="000F0835" w:rsidRDefault="00CA2475" w:rsidP="00004A35">
      <w:pPr>
        <w:widowControl w:val="0"/>
        <w:spacing w:after="60" w:line="276" w:lineRule="auto"/>
        <w:jc w:val="both"/>
        <w:rPr>
          <w:rFonts w:ascii="Arial" w:eastAsia="Times New Roman" w:hAnsi="Arial" w:cs="Arial"/>
          <w:b/>
          <w:bCs/>
          <w:sz w:val="24"/>
          <w:szCs w:val="24"/>
          <w:u w:val="single"/>
          <w:lang w:val="az-Latn-AZ"/>
        </w:rPr>
      </w:pPr>
      <w:bookmarkStart w:id="0" w:name="_GoBack"/>
      <w:bookmarkEnd w:id="0"/>
      <w:r>
        <w:rPr>
          <w:rFonts w:ascii="Arial" w:eastAsia="Times New Roman" w:hAnsi="Arial" w:cs="Arial"/>
          <w:b/>
          <w:bCs/>
          <w:sz w:val="24"/>
          <w:szCs w:val="24"/>
          <w:u w:val="single"/>
          <w:lang w:val="az-Latn-AZ"/>
        </w:rPr>
        <w:lastRenderedPageBreak/>
        <w:t>Cədvəl 2. Elektrik enerjisi</w:t>
      </w:r>
      <w:r w:rsidR="005C12EE" w:rsidRPr="000F0835">
        <w:rPr>
          <w:rFonts w:ascii="Arial" w:eastAsia="Times New Roman" w:hAnsi="Arial" w:cs="Arial"/>
          <w:b/>
          <w:bCs/>
          <w:sz w:val="24"/>
          <w:szCs w:val="24"/>
          <w:u w:val="single"/>
          <w:lang w:val="az-Latn-AZ"/>
        </w:rPr>
        <w:t xml:space="preserve"> üzrə </w:t>
      </w:r>
      <w:r w:rsidR="00813D78" w:rsidRPr="000F0835">
        <w:rPr>
          <w:rFonts w:ascii="Arial" w:eastAsia="Times New Roman" w:hAnsi="Arial" w:cs="Arial"/>
          <w:b/>
          <w:bCs/>
          <w:sz w:val="24"/>
          <w:szCs w:val="24"/>
          <w:u w:val="single"/>
          <w:lang w:val="az-Latn-AZ"/>
        </w:rPr>
        <w:t xml:space="preserve">tariflərin </w:t>
      </w:r>
      <w:r w:rsidR="005C12EE" w:rsidRPr="000F0835">
        <w:rPr>
          <w:rFonts w:ascii="Arial" w:eastAsia="Times New Roman" w:hAnsi="Arial" w:cs="Arial"/>
          <w:b/>
          <w:bCs/>
          <w:sz w:val="24"/>
          <w:szCs w:val="24"/>
          <w:u w:val="single"/>
          <w:lang w:val="az-Latn-AZ"/>
        </w:rPr>
        <w:t>müqayisəsi</w:t>
      </w:r>
    </w:p>
    <w:tbl>
      <w:tblPr>
        <w:tblW w:w="10055" w:type="dxa"/>
        <w:tblCellMar>
          <w:left w:w="0" w:type="dxa"/>
          <w:right w:w="0" w:type="dxa"/>
        </w:tblCellMar>
        <w:tblLook w:val="04A0" w:firstRow="1" w:lastRow="0" w:firstColumn="1" w:lastColumn="0" w:noHBand="0" w:noVBand="1"/>
      </w:tblPr>
      <w:tblGrid>
        <w:gridCol w:w="983"/>
        <w:gridCol w:w="6804"/>
        <w:gridCol w:w="1275"/>
        <w:gridCol w:w="993"/>
      </w:tblGrid>
      <w:tr w:rsidR="000F0835" w:rsidRPr="00CA2475" w14:paraId="6CA08955" w14:textId="77777777" w:rsidTr="004154D3">
        <w:trPr>
          <w:trHeight w:val="391"/>
        </w:trPr>
        <w:tc>
          <w:tcPr>
            <w:tcW w:w="983" w:type="dxa"/>
            <w:vMerge w:val="restart"/>
            <w:tcBorders>
              <w:top w:val="single" w:sz="8" w:space="0" w:color="7F7F7F"/>
              <w:left w:val="single" w:sz="8" w:space="0" w:color="7F7F7F"/>
              <w:right w:val="single" w:sz="8" w:space="0" w:color="7F7F7F"/>
            </w:tcBorders>
            <w:vAlign w:val="center"/>
          </w:tcPr>
          <w:p w14:paraId="54F4D17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b/>
                <w:lang w:val="az-Latn-AZ"/>
              </w:rPr>
              <w:t>№</w:t>
            </w:r>
          </w:p>
        </w:tc>
        <w:tc>
          <w:tcPr>
            <w:tcW w:w="6804" w:type="dxa"/>
            <w:vMerge w:val="restart"/>
            <w:tcBorders>
              <w:top w:val="single" w:sz="8" w:space="0" w:color="7F7F7F"/>
              <w:left w:val="single" w:sz="8" w:space="0" w:color="7F7F7F"/>
              <w:right w:val="single" w:sz="8" w:space="0" w:color="7F7F7F"/>
            </w:tcBorders>
            <w:vAlign w:val="center"/>
          </w:tcPr>
          <w:p w14:paraId="4F1515D4"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b/>
                <w:lang w:val="az-Latn-AZ"/>
              </w:rPr>
              <w:t>Göstəricilər</w:t>
            </w:r>
          </w:p>
        </w:tc>
        <w:tc>
          <w:tcPr>
            <w:tcW w:w="2268" w:type="dxa"/>
            <w:gridSpan w:val="2"/>
            <w:tcBorders>
              <w:top w:val="single" w:sz="8" w:space="0" w:color="7F7F7F"/>
              <w:left w:val="single" w:sz="8" w:space="0" w:color="7F7F7F"/>
              <w:bottom w:val="single" w:sz="8" w:space="0" w:color="7F7F7F"/>
              <w:right w:val="single" w:sz="8" w:space="0" w:color="7F7F7F"/>
            </w:tcBorders>
            <w:vAlign w:val="center"/>
          </w:tcPr>
          <w:p w14:paraId="76F33E0E" w14:textId="45FF2BD8" w:rsidR="005C12EE" w:rsidRPr="000F0835" w:rsidRDefault="005C12EE" w:rsidP="004154D3">
            <w:pPr>
              <w:pStyle w:val="NoSpacing"/>
              <w:widowControl w:val="0"/>
              <w:spacing w:after="60"/>
              <w:jc w:val="center"/>
              <w:rPr>
                <w:rFonts w:ascii="Arial" w:hAnsi="Arial" w:cs="Arial"/>
                <w:b/>
                <w:bCs/>
                <w:lang w:val="az-Latn-AZ"/>
              </w:rPr>
            </w:pPr>
            <w:r w:rsidRPr="000F0835">
              <w:rPr>
                <w:rStyle w:val="Strong"/>
                <w:rFonts w:ascii="Arial" w:hAnsi="Arial" w:cs="Arial"/>
                <w:b w:val="0"/>
                <w:shd w:val="clear" w:color="auto" w:fill="FFFFFF"/>
                <w:lang w:val="az-Latn-AZ"/>
              </w:rPr>
              <w:t>Tariflər (qəpik</w:t>
            </w:r>
            <w:r w:rsidR="00004A35" w:rsidRPr="000F0835">
              <w:rPr>
                <w:rStyle w:val="Strong"/>
                <w:rFonts w:ascii="Arial" w:hAnsi="Arial" w:cs="Arial"/>
                <w:b w:val="0"/>
                <w:shd w:val="clear" w:color="auto" w:fill="FFFFFF"/>
                <w:lang w:val="az-Latn-AZ"/>
              </w:rPr>
              <w:t xml:space="preserve"> </w:t>
            </w:r>
            <w:r w:rsidRPr="000F0835">
              <w:rPr>
                <w:rStyle w:val="Strong"/>
                <w:rFonts w:ascii="Arial" w:hAnsi="Arial" w:cs="Arial"/>
                <w:b w:val="0"/>
                <w:shd w:val="clear" w:color="auto" w:fill="FFFFFF"/>
                <w:lang w:val="az-Latn-AZ"/>
              </w:rPr>
              <w:t>/</w:t>
            </w:r>
            <w:r w:rsidR="00004A35" w:rsidRPr="000F0835">
              <w:rPr>
                <w:rStyle w:val="Strong"/>
                <w:rFonts w:ascii="Arial" w:hAnsi="Arial" w:cs="Arial"/>
                <w:b w:val="0"/>
                <w:shd w:val="clear" w:color="auto" w:fill="FFFFFF"/>
                <w:lang w:val="az-Latn-AZ"/>
              </w:rPr>
              <w:t xml:space="preserve"> </w:t>
            </w:r>
            <w:r w:rsidRPr="000F0835">
              <w:rPr>
                <w:rStyle w:val="Strong"/>
                <w:rFonts w:ascii="Arial" w:hAnsi="Arial" w:cs="Arial"/>
                <w:b w:val="0"/>
                <w:shd w:val="clear" w:color="auto" w:fill="FFFFFF"/>
                <w:lang w:val="az-Latn-AZ"/>
              </w:rPr>
              <w:t>kVts, ƏDV ilə)</w:t>
            </w:r>
          </w:p>
        </w:tc>
      </w:tr>
      <w:tr w:rsidR="000F0835" w:rsidRPr="000F0835" w14:paraId="24D92FDE" w14:textId="77777777" w:rsidTr="004154D3">
        <w:trPr>
          <w:trHeight w:val="411"/>
        </w:trPr>
        <w:tc>
          <w:tcPr>
            <w:tcW w:w="983" w:type="dxa"/>
            <w:vMerge/>
            <w:tcBorders>
              <w:left w:val="single" w:sz="8" w:space="0" w:color="7F7F7F"/>
              <w:bottom w:val="single" w:sz="8" w:space="0" w:color="7F7F7F"/>
              <w:right w:val="single" w:sz="8" w:space="0" w:color="7F7F7F"/>
            </w:tcBorders>
            <w:vAlign w:val="center"/>
            <w:hideMark/>
          </w:tcPr>
          <w:p w14:paraId="65C17198" w14:textId="77777777" w:rsidR="005C12EE" w:rsidRPr="000F0835" w:rsidRDefault="005C12EE" w:rsidP="00004A35">
            <w:pPr>
              <w:pStyle w:val="NoSpacing"/>
              <w:widowControl w:val="0"/>
              <w:spacing w:after="60"/>
              <w:jc w:val="center"/>
              <w:rPr>
                <w:rFonts w:ascii="Arial" w:hAnsi="Arial" w:cs="Arial"/>
                <w:lang w:val="az-Latn-AZ"/>
              </w:rPr>
            </w:pPr>
          </w:p>
        </w:tc>
        <w:tc>
          <w:tcPr>
            <w:tcW w:w="6804" w:type="dxa"/>
            <w:vMerge/>
            <w:tcBorders>
              <w:left w:val="single" w:sz="8" w:space="0" w:color="7F7F7F"/>
              <w:bottom w:val="single" w:sz="8" w:space="0" w:color="7F7F7F"/>
              <w:right w:val="single" w:sz="8" w:space="0" w:color="7F7F7F"/>
            </w:tcBorders>
            <w:vAlign w:val="center"/>
            <w:hideMark/>
          </w:tcPr>
          <w:p w14:paraId="492FCDD4" w14:textId="77777777" w:rsidR="005C12EE" w:rsidRPr="000F0835" w:rsidRDefault="005C12EE" w:rsidP="00004A35">
            <w:pPr>
              <w:pStyle w:val="NoSpacing"/>
              <w:widowControl w:val="0"/>
              <w:spacing w:after="60"/>
              <w:rPr>
                <w:rFonts w:ascii="Arial" w:hAnsi="Arial" w:cs="Arial"/>
                <w:lang w:val="az-Latn-AZ"/>
              </w:rPr>
            </w:pPr>
          </w:p>
        </w:tc>
        <w:tc>
          <w:tcPr>
            <w:tcW w:w="1275" w:type="dxa"/>
            <w:tcBorders>
              <w:top w:val="single" w:sz="8" w:space="0" w:color="7F7F7F"/>
              <w:left w:val="single" w:sz="8" w:space="0" w:color="7F7F7F"/>
              <w:bottom w:val="single" w:sz="8" w:space="0" w:color="7F7F7F"/>
              <w:right w:val="single" w:sz="8" w:space="0" w:color="7F7F7F"/>
            </w:tcBorders>
            <w:vAlign w:val="center"/>
            <w:hideMark/>
          </w:tcPr>
          <w:p w14:paraId="49F81049" w14:textId="4BC58479" w:rsidR="005C12EE" w:rsidRPr="000F0835" w:rsidRDefault="003B7BAA" w:rsidP="00004A35">
            <w:pPr>
              <w:pStyle w:val="NoSpacing"/>
              <w:widowControl w:val="0"/>
              <w:spacing w:after="60"/>
              <w:jc w:val="center"/>
              <w:rPr>
                <w:rFonts w:ascii="Arial" w:hAnsi="Arial" w:cs="Arial"/>
                <w:b/>
                <w:lang w:val="az-Latn-AZ"/>
              </w:rPr>
            </w:pPr>
            <w:r w:rsidRPr="000F0835">
              <w:rPr>
                <w:rFonts w:ascii="Arial" w:hAnsi="Arial" w:cs="Arial"/>
                <w:b/>
                <w:bCs/>
                <w:lang w:val="az-Latn-AZ"/>
              </w:rPr>
              <w:t>Əvvəlki</w:t>
            </w:r>
          </w:p>
        </w:tc>
        <w:tc>
          <w:tcPr>
            <w:tcW w:w="993" w:type="dxa"/>
            <w:tcBorders>
              <w:top w:val="single" w:sz="8" w:space="0" w:color="7F7F7F"/>
              <w:left w:val="single" w:sz="8" w:space="0" w:color="7F7F7F"/>
              <w:bottom w:val="single" w:sz="8" w:space="0" w:color="7F7F7F"/>
              <w:right w:val="single" w:sz="8" w:space="0" w:color="7F7F7F"/>
            </w:tcBorders>
            <w:vAlign w:val="center"/>
          </w:tcPr>
          <w:p w14:paraId="4C95AB4B" w14:textId="77777777" w:rsidR="005C12EE" w:rsidRPr="000F0835" w:rsidRDefault="005C12EE" w:rsidP="00004A35">
            <w:pPr>
              <w:pStyle w:val="NoSpacing"/>
              <w:widowControl w:val="0"/>
              <w:spacing w:after="60"/>
              <w:jc w:val="center"/>
              <w:rPr>
                <w:rFonts w:ascii="Arial" w:hAnsi="Arial" w:cs="Arial"/>
                <w:b/>
                <w:lang w:val="az-Latn-AZ"/>
              </w:rPr>
            </w:pPr>
            <w:r w:rsidRPr="000F0835">
              <w:rPr>
                <w:rFonts w:ascii="Arial" w:hAnsi="Arial" w:cs="Arial"/>
                <w:b/>
                <w:bCs/>
                <w:lang w:val="az-Latn-AZ"/>
              </w:rPr>
              <w:t>Yeni</w:t>
            </w:r>
          </w:p>
        </w:tc>
      </w:tr>
      <w:tr w:rsidR="000F0835" w:rsidRPr="000F0835" w14:paraId="5DF77E23"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3B0E2666"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8E3ED39" w14:textId="77777777" w:rsidR="005C12EE" w:rsidRPr="00D76EEE" w:rsidRDefault="005C12EE" w:rsidP="00004A35">
            <w:pPr>
              <w:pStyle w:val="NoSpacing"/>
              <w:widowControl w:val="0"/>
              <w:spacing w:after="60"/>
              <w:jc w:val="both"/>
              <w:rPr>
                <w:rFonts w:ascii="Arial" w:hAnsi="Arial" w:cs="Arial"/>
                <w:b/>
                <w:bCs/>
                <w:lang w:val="az-Latn-AZ"/>
              </w:rPr>
            </w:pPr>
            <w:r w:rsidRPr="00D76EEE">
              <w:rPr>
                <w:rFonts w:ascii="Arial" w:hAnsi="Arial" w:cs="Arial"/>
                <w:b/>
                <w:bCs/>
                <w:lang w:val="az-Latn-AZ"/>
              </w:rPr>
              <w:t>Elektrik enerjisinin təchizatı</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4B107933"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2067D08"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37C1EA3E"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7AAEE392"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1.1.</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25D5698" w14:textId="77777777" w:rsidR="005C12EE" w:rsidRPr="000F0835" w:rsidRDefault="005C12EE" w:rsidP="00004A35">
            <w:pPr>
              <w:pStyle w:val="NoSpacing"/>
              <w:widowControl w:val="0"/>
              <w:spacing w:after="60"/>
              <w:jc w:val="both"/>
              <w:rPr>
                <w:rFonts w:ascii="Arial" w:hAnsi="Arial" w:cs="Arial"/>
                <w:b/>
                <w:bCs/>
                <w:lang w:val="az-Latn-AZ"/>
              </w:rPr>
            </w:pPr>
            <w:r w:rsidRPr="000F0835">
              <w:rPr>
                <w:rFonts w:ascii="Arial" w:hAnsi="Arial" w:cs="Arial"/>
                <w:b/>
                <w:bCs/>
                <w:lang w:val="az-Latn-AZ"/>
              </w:rPr>
              <w:t>Əhali</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71CFD71D"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4D7C61D4"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2FD580CA"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5441967"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1.1.1.</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408F45D5"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aylıq istehlak həcminin 200 kVts-a qədər (200 kVts daxil) olan hissəsi üçün</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376C5CF"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8,0</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0E8F7057" w14:textId="77777777" w:rsidR="005C12EE" w:rsidRPr="00A145B0" w:rsidRDefault="005C12EE" w:rsidP="00004A35">
            <w:pPr>
              <w:pStyle w:val="NoSpacing"/>
              <w:widowControl w:val="0"/>
              <w:spacing w:after="60"/>
              <w:jc w:val="center"/>
              <w:rPr>
                <w:rFonts w:ascii="Arial" w:hAnsi="Arial" w:cs="Arial"/>
                <w:b/>
                <w:bCs/>
                <w:lang w:val="az-Latn-AZ"/>
              </w:rPr>
            </w:pPr>
            <w:r w:rsidRPr="00A145B0">
              <w:rPr>
                <w:rFonts w:ascii="Arial" w:hAnsi="Arial" w:cs="Arial"/>
                <w:b/>
                <w:bCs/>
                <w:lang w:val="az-Latn-AZ"/>
              </w:rPr>
              <w:t>8,4</w:t>
            </w:r>
          </w:p>
        </w:tc>
      </w:tr>
      <w:tr w:rsidR="000F0835" w:rsidRPr="000F0835" w14:paraId="3C6219D7"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CBA8E4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1.1.2.</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0BF17C9C"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aylıq istehlak həcminin 200 kVts-dan 300 kVts-a qədər (300 kVts daxil) olan hissəsi üçün</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4A462A56"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9,0</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00D311E4" w14:textId="77777777" w:rsidR="005C12EE" w:rsidRPr="00A145B0" w:rsidRDefault="005C12EE" w:rsidP="00004A35">
            <w:pPr>
              <w:pStyle w:val="NoSpacing"/>
              <w:widowControl w:val="0"/>
              <w:spacing w:after="60"/>
              <w:jc w:val="center"/>
              <w:rPr>
                <w:rFonts w:ascii="Arial" w:hAnsi="Arial" w:cs="Arial"/>
                <w:b/>
                <w:bCs/>
                <w:lang w:val="az-Latn-AZ"/>
              </w:rPr>
            </w:pPr>
            <w:r w:rsidRPr="00A145B0">
              <w:rPr>
                <w:rFonts w:ascii="Arial" w:hAnsi="Arial" w:cs="Arial"/>
                <w:b/>
                <w:bCs/>
                <w:lang w:val="az-Latn-AZ"/>
              </w:rPr>
              <w:t>10,0</w:t>
            </w:r>
          </w:p>
        </w:tc>
      </w:tr>
      <w:tr w:rsidR="000F0835" w:rsidRPr="000F0835" w14:paraId="178C5717"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A8627EC"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1.1.3.</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7B64D5F"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aylıq istehlak həcminin 300 kVts-dan çox olan hissəsi üçün</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7C2F7AD"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13,0</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DA46A3C" w14:textId="77777777" w:rsidR="005C12EE" w:rsidRPr="00A145B0" w:rsidRDefault="005C12EE" w:rsidP="00004A35">
            <w:pPr>
              <w:pStyle w:val="NoSpacing"/>
              <w:widowControl w:val="0"/>
              <w:spacing w:after="60"/>
              <w:jc w:val="center"/>
              <w:rPr>
                <w:rFonts w:ascii="Arial" w:hAnsi="Arial" w:cs="Arial"/>
                <w:b/>
                <w:bCs/>
                <w:lang w:val="az-Latn-AZ"/>
              </w:rPr>
            </w:pPr>
            <w:r w:rsidRPr="00A145B0">
              <w:rPr>
                <w:rFonts w:ascii="Arial" w:hAnsi="Arial" w:cs="Arial"/>
                <w:b/>
                <w:bCs/>
                <w:lang w:val="az-Latn-AZ"/>
              </w:rPr>
              <w:t>15,0</w:t>
            </w:r>
          </w:p>
        </w:tc>
      </w:tr>
      <w:tr w:rsidR="000F0835" w:rsidRPr="000F0835" w14:paraId="5C9A2BFA"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7DF5D848"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B773492" w14:textId="77777777" w:rsidR="005C12EE" w:rsidRPr="000F0835" w:rsidRDefault="005C12EE" w:rsidP="00004A35">
            <w:pPr>
              <w:pStyle w:val="NoSpacing"/>
              <w:widowControl w:val="0"/>
              <w:spacing w:after="60"/>
              <w:jc w:val="both"/>
              <w:rPr>
                <w:rFonts w:ascii="Arial" w:hAnsi="Arial" w:cs="Arial"/>
                <w:b/>
                <w:bCs/>
                <w:lang w:val="az-Latn-AZ"/>
              </w:rPr>
            </w:pPr>
            <w:r w:rsidRPr="000F0835">
              <w:rPr>
                <w:rFonts w:ascii="Arial" w:hAnsi="Arial" w:cs="Arial"/>
                <w:b/>
                <w:bCs/>
                <w:lang w:val="az-Latn-AZ"/>
              </w:rPr>
              <w:t>Qeyri-əhali</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0728ACF8"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3E805719"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124FA269"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2196041E"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1.2.1.</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328B4C3"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ticarət və xidmət</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BAB69B8"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bCs/>
                <w:lang w:val="az-Latn-AZ"/>
              </w:rPr>
              <w:t>11,0</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A037942" w14:textId="77777777" w:rsidR="005C12EE" w:rsidRPr="00A145B0" w:rsidRDefault="005C12EE" w:rsidP="00004A35">
            <w:pPr>
              <w:pStyle w:val="NoSpacing"/>
              <w:widowControl w:val="0"/>
              <w:spacing w:after="60"/>
              <w:jc w:val="center"/>
              <w:rPr>
                <w:rFonts w:ascii="Arial" w:hAnsi="Arial" w:cs="Arial"/>
                <w:b/>
                <w:lang w:val="az-Latn-AZ"/>
              </w:rPr>
            </w:pPr>
            <w:r w:rsidRPr="00A145B0">
              <w:rPr>
                <w:rFonts w:ascii="Arial" w:hAnsi="Arial" w:cs="Arial"/>
                <w:b/>
                <w:lang w:val="az-Latn-AZ"/>
              </w:rPr>
              <w:t>-</w:t>
            </w:r>
          </w:p>
        </w:tc>
      </w:tr>
      <w:tr w:rsidR="000F0835" w:rsidRPr="000F0835" w14:paraId="0408BFFD"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41649EC"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1.2.2.</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361EA9EB"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digərləri*</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1696547"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bCs/>
                <w:lang w:val="az-Latn-AZ"/>
              </w:rPr>
              <w:t>10,0</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35F2484" w14:textId="77777777" w:rsidR="005C12EE" w:rsidRPr="00A145B0" w:rsidRDefault="005C12EE" w:rsidP="00004A35">
            <w:pPr>
              <w:pStyle w:val="NoSpacing"/>
              <w:widowControl w:val="0"/>
              <w:spacing w:after="60"/>
              <w:jc w:val="center"/>
              <w:rPr>
                <w:rFonts w:ascii="Arial" w:hAnsi="Arial" w:cs="Arial"/>
                <w:b/>
                <w:lang w:val="az-Latn-AZ"/>
              </w:rPr>
            </w:pPr>
            <w:r w:rsidRPr="00A145B0">
              <w:rPr>
                <w:rFonts w:ascii="Arial" w:hAnsi="Arial" w:cs="Arial"/>
                <w:b/>
                <w:lang w:val="az-Latn-AZ"/>
              </w:rPr>
              <w:t>12,5</w:t>
            </w:r>
          </w:p>
        </w:tc>
      </w:tr>
      <w:tr w:rsidR="000F0835" w:rsidRPr="000F0835" w14:paraId="103AE138"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EB9ECD4"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1.2.3.</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DBF6965" w14:textId="77777777" w:rsidR="005C12EE" w:rsidRPr="000F0835" w:rsidRDefault="005C12EE" w:rsidP="00004A35">
            <w:pPr>
              <w:pStyle w:val="NoSpacing"/>
              <w:widowControl w:val="0"/>
              <w:spacing w:after="60"/>
              <w:ind w:left="227"/>
              <w:jc w:val="both"/>
              <w:rPr>
                <w:rFonts w:ascii="Arial" w:hAnsi="Arial" w:cs="Arial"/>
                <w:b/>
                <w:bCs/>
                <w:lang w:val="az-Latn-AZ"/>
              </w:rPr>
            </w:pPr>
            <w:r w:rsidRPr="000F0835">
              <w:rPr>
                <w:rFonts w:ascii="Arial" w:hAnsi="Arial" w:cs="Arial"/>
                <w:b/>
                <w:bCs/>
                <w:lang w:val="az-Latn-AZ"/>
              </w:rPr>
              <w:t>sənaye və kənd təsərrüfatı</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533AFC24" w14:textId="7147291F" w:rsidR="005C12EE" w:rsidRPr="000F0835" w:rsidRDefault="003321C4" w:rsidP="00004A35">
            <w:pPr>
              <w:pStyle w:val="NoSpacing"/>
              <w:widowControl w:val="0"/>
              <w:spacing w:after="60"/>
              <w:jc w:val="center"/>
              <w:rPr>
                <w:rFonts w:ascii="Arial" w:hAnsi="Arial" w:cs="Arial"/>
                <w:lang w:val="az-Latn-AZ"/>
              </w:rPr>
            </w:pPr>
            <w:r w:rsidRPr="000F0835">
              <w:rPr>
                <w:rFonts w:ascii="Arial" w:hAnsi="Arial" w:cs="Arial"/>
                <w:bCs/>
                <w:lang w:val="az-Latn-AZ"/>
              </w:rPr>
              <w:t>10,0</w:t>
            </w:r>
            <w:r w:rsidR="00586BFE" w:rsidRPr="000F0835">
              <w:rPr>
                <w:rFonts w:ascii="Arial" w:hAnsi="Arial" w:cs="Arial"/>
                <w:bCs/>
                <w:lang w:val="az-Latn-AZ"/>
              </w:rPr>
              <w:t xml:space="preserve"> </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18E7D09D" w14:textId="77777777" w:rsidR="005C12EE" w:rsidRPr="00A145B0" w:rsidRDefault="005C12EE" w:rsidP="00004A35">
            <w:pPr>
              <w:pStyle w:val="NoSpacing"/>
              <w:widowControl w:val="0"/>
              <w:spacing w:after="60"/>
              <w:jc w:val="center"/>
              <w:rPr>
                <w:rFonts w:ascii="Arial" w:hAnsi="Arial" w:cs="Arial"/>
                <w:b/>
                <w:lang w:val="az-Latn-AZ"/>
              </w:rPr>
            </w:pPr>
            <w:r w:rsidRPr="00A145B0">
              <w:rPr>
                <w:rFonts w:ascii="Arial" w:hAnsi="Arial" w:cs="Arial"/>
                <w:b/>
                <w:lang w:val="az-Latn-AZ"/>
              </w:rPr>
              <w:t>10,6</w:t>
            </w:r>
          </w:p>
        </w:tc>
      </w:tr>
      <w:tr w:rsidR="000F0835" w:rsidRPr="00CA2475" w14:paraId="2994D4EF"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3DDECE14" w14:textId="21BFB9DF"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1.3</w:t>
            </w:r>
            <w:r w:rsidR="00CA2475">
              <w:rPr>
                <w:rFonts w:ascii="Arial" w:hAnsi="Arial" w:cs="Arial"/>
                <w:lang w:val="az-Latn-AZ"/>
              </w:rPr>
              <w:t>.</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2794999A" w14:textId="77777777" w:rsidR="005C12EE" w:rsidRPr="000F0835" w:rsidRDefault="005C12EE" w:rsidP="00004A35">
            <w:pPr>
              <w:pStyle w:val="NoSpacing"/>
              <w:widowControl w:val="0"/>
              <w:spacing w:after="60"/>
              <w:jc w:val="both"/>
              <w:rPr>
                <w:rFonts w:ascii="Arial" w:hAnsi="Arial" w:cs="Arial"/>
                <w:lang w:val="az-Latn-AZ"/>
              </w:rPr>
            </w:pPr>
            <w:r w:rsidRPr="000F0835">
              <w:rPr>
                <w:rFonts w:ascii="Arial" w:hAnsi="Arial" w:cs="Arial"/>
                <w:lang w:val="az-Latn-AZ"/>
              </w:rPr>
              <w:t xml:space="preserve">Birbaşa 35 və 110 kV-luq xətlərlə həyata keçirilən, gün ərzində yük tələbatı stabil olan, istehsal məqsədləri üçün orta aylıq enerji istehlakı 5 milyon kVts-dan az olmayan alüminium sənayesi </w:t>
            </w:r>
            <w:r w:rsidRPr="000F0835">
              <w:rPr>
                <w:rFonts w:ascii="Arial" w:hAnsi="Arial" w:cs="Arial"/>
                <w:iCs/>
                <w:spacing w:val="2"/>
                <w:shd w:val="clear" w:color="auto" w:fill="FFFFFF"/>
                <w:lang w:val="az-Latn-AZ"/>
              </w:rPr>
              <w:t>və ferrosilisium istehsalı sahəsi</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0AD5759A" w14:textId="77777777" w:rsidR="005C12EE" w:rsidRPr="000F0835" w:rsidRDefault="005C12EE" w:rsidP="00004A35">
            <w:pPr>
              <w:pStyle w:val="NoSpacing"/>
              <w:widowControl w:val="0"/>
              <w:spacing w:after="60"/>
              <w:jc w:val="center"/>
              <w:rPr>
                <w:rFonts w:ascii="Arial" w:hAnsi="Arial" w:cs="Arial"/>
                <w:lang w:val="az-Latn-AZ"/>
              </w:rPr>
            </w:pP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tcPr>
          <w:p w14:paraId="3A0D4174" w14:textId="77777777" w:rsidR="005C12EE" w:rsidRPr="000F0835" w:rsidRDefault="005C12EE" w:rsidP="00004A35">
            <w:pPr>
              <w:pStyle w:val="NoSpacing"/>
              <w:widowControl w:val="0"/>
              <w:spacing w:after="60"/>
              <w:jc w:val="center"/>
              <w:rPr>
                <w:rFonts w:ascii="Arial" w:hAnsi="Arial" w:cs="Arial"/>
                <w:lang w:val="az-Latn-AZ"/>
              </w:rPr>
            </w:pPr>
          </w:p>
        </w:tc>
      </w:tr>
      <w:tr w:rsidR="000F0835" w:rsidRPr="000F0835" w14:paraId="1B890C6E"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4DB9ADD7"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1.3.1.</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674EE2DA" w14:textId="77777777" w:rsidR="005C12EE" w:rsidRPr="000F0835" w:rsidRDefault="005C12EE" w:rsidP="00004A35">
            <w:pPr>
              <w:pStyle w:val="NoSpacing"/>
              <w:widowControl w:val="0"/>
              <w:spacing w:after="60"/>
              <w:ind w:left="227"/>
              <w:jc w:val="both"/>
              <w:rPr>
                <w:rFonts w:ascii="Arial" w:hAnsi="Arial" w:cs="Arial"/>
                <w:lang w:val="az-Latn-AZ"/>
              </w:rPr>
            </w:pPr>
            <w:r w:rsidRPr="000F0835">
              <w:rPr>
                <w:rFonts w:ascii="Arial" w:hAnsi="Arial" w:cs="Arial"/>
                <w:lang w:val="az-Latn-AZ"/>
              </w:rPr>
              <w:t>gündüz vaxtı (saat 08.00-dan 22.00-a qədər)</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5861A58D"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6,4</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351902B1"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7,0</w:t>
            </w:r>
          </w:p>
        </w:tc>
      </w:tr>
      <w:tr w:rsidR="000F0835" w:rsidRPr="000F0835" w14:paraId="0E66983D" w14:textId="77777777" w:rsidTr="004154D3">
        <w:trPr>
          <w:trHeight w:val="286"/>
        </w:trPr>
        <w:tc>
          <w:tcPr>
            <w:tcW w:w="98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73AEA06A"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1.3.2.</w:t>
            </w:r>
          </w:p>
        </w:tc>
        <w:tc>
          <w:tcPr>
            <w:tcW w:w="6804"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0D4CF527" w14:textId="77777777" w:rsidR="005C12EE" w:rsidRPr="000F0835" w:rsidRDefault="005C12EE" w:rsidP="00004A35">
            <w:pPr>
              <w:pStyle w:val="NoSpacing"/>
              <w:widowControl w:val="0"/>
              <w:spacing w:after="60"/>
              <w:ind w:left="227"/>
              <w:jc w:val="both"/>
              <w:rPr>
                <w:rFonts w:ascii="Arial" w:hAnsi="Arial" w:cs="Arial"/>
                <w:lang w:val="az-Latn-AZ"/>
              </w:rPr>
            </w:pPr>
            <w:r w:rsidRPr="000F0835">
              <w:rPr>
                <w:rFonts w:ascii="Arial" w:hAnsi="Arial" w:cs="Arial"/>
                <w:lang w:val="az-Latn-AZ"/>
              </w:rPr>
              <w:t>gecə vaxtı (saat 22.00-dan 08.00-a qədər)</w:t>
            </w:r>
          </w:p>
        </w:tc>
        <w:tc>
          <w:tcPr>
            <w:tcW w:w="1275"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5C658958"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3,1</w:t>
            </w:r>
          </w:p>
        </w:tc>
        <w:tc>
          <w:tcPr>
            <w:tcW w:w="993" w:type="dxa"/>
            <w:tcBorders>
              <w:top w:val="single" w:sz="8" w:space="0" w:color="7F7F7F"/>
              <w:left w:val="single" w:sz="8" w:space="0" w:color="7F7F7F"/>
              <w:bottom w:val="single" w:sz="8" w:space="0" w:color="7F7F7F"/>
              <w:right w:val="single" w:sz="8" w:space="0" w:color="7F7F7F"/>
            </w:tcBorders>
            <w:shd w:val="clear" w:color="auto" w:fill="auto"/>
            <w:tcMar>
              <w:top w:w="15" w:type="dxa"/>
              <w:left w:w="64" w:type="dxa"/>
              <w:bottom w:w="0" w:type="dxa"/>
              <w:right w:w="64" w:type="dxa"/>
            </w:tcMar>
            <w:vAlign w:val="center"/>
            <w:hideMark/>
          </w:tcPr>
          <w:p w14:paraId="3E52ED4E" w14:textId="77777777" w:rsidR="005C12EE" w:rsidRPr="000F0835" w:rsidRDefault="005C12EE" w:rsidP="00004A35">
            <w:pPr>
              <w:pStyle w:val="NoSpacing"/>
              <w:widowControl w:val="0"/>
              <w:spacing w:after="60"/>
              <w:jc w:val="center"/>
              <w:rPr>
                <w:rFonts w:ascii="Arial" w:hAnsi="Arial" w:cs="Arial"/>
                <w:lang w:val="az-Latn-AZ"/>
              </w:rPr>
            </w:pPr>
            <w:r w:rsidRPr="000F0835">
              <w:rPr>
                <w:rFonts w:ascii="Arial" w:hAnsi="Arial" w:cs="Arial"/>
                <w:lang w:val="az-Latn-AZ"/>
              </w:rPr>
              <w:t>3,4</w:t>
            </w:r>
          </w:p>
        </w:tc>
      </w:tr>
    </w:tbl>
    <w:p w14:paraId="10EB19E7" w14:textId="30620F35" w:rsidR="005C12EE" w:rsidRPr="000F0835" w:rsidRDefault="005C12EE" w:rsidP="00004A35">
      <w:pPr>
        <w:widowControl w:val="0"/>
        <w:spacing w:before="60" w:after="60" w:line="276" w:lineRule="auto"/>
        <w:jc w:val="both"/>
        <w:rPr>
          <w:rFonts w:ascii="Arial" w:hAnsi="Arial" w:cs="Arial"/>
          <w:bCs/>
          <w:i/>
          <w:szCs w:val="24"/>
          <w:lang w:val="az-Latn-AZ"/>
        </w:rPr>
      </w:pPr>
      <w:r w:rsidRPr="000F0835">
        <w:rPr>
          <w:rFonts w:ascii="Arial" w:hAnsi="Arial" w:cs="Arial"/>
          <w:b/>
          <w:sz w:val="24"/>
          <w:szCs w:val="28"/>
          <w:lang w:val="az-Latn-AZ"/>
        </w:rPr>
        <w:t>Qeyd:</w:t>
      </w:r>
      <w:r w:rsidRPr="000F0835">
        <w:rPr>
          <w:rFonts w:ascii="Arial" w:hAnsi="Arial" w:cs="Arial"/>
          <w:b/>
          <w:bCs/>
          <w:sz w:val="24"/>
          <w:szCs w:val="28"/>
          <w:lang w:val="az-Latn-AZ"/>
        </w:rPr>
        <w:t xml:space="preserve">* </w:t>
      </w:r>
      <w:r w:rsidRPr="000F0835">
        <w:rPr>
          <w:rFonts w:ascii="Arial" w:hAnsi="Arial" w:cs="Arial"/>
          <w:i/>
          <w:lang w:val="az-Latn-AZ"/>
        </w:rPr>
        <w:t>Qeyri-əhali istehlakçıları üzrə struktur bölgüsü dəyişdirilib.</w:t>
      </w:r>
      <w:r w:rsidRPr="000F0835">
        <w:rPr>
          <w:rFonts w:ascii="Arial" w:hAnsi="Arial" w:cs="Arial"/>
          <w:bCs/>
          <w:i/>
          <w:szCs w:val="24"/>
          <w:lang w:val="az-Latn-AZ"/>
        </w:rPr>
        <w:t xml:space="preserve"> Əvvəl “digərləri” qrupuna “Ticarət və xidmət”dən başqa bütün istehlakçılar daxil idi</w:t>
      </w:r>
      <w:r w:rsidRPr="00F4565B">
        <w:rPr>
          <w:rFonts w:ascii="Arial" w:hAnsi="Arial" w:cs="Arial"/>
          <w:bCs/>
          <w:i/>
          <w:szCs w:val="24"/>
          <w:lang w:val="az-Latn-AZ"/>
        </w:rPr>
        <w:t xml:space="preserve">, yeni </w:t>
      </w:r>
      <w:r w:rsidR="00CA2475" w:rsidRPr="00F4565B">
        <w:rPr>
          <w:rFonts w:ascii="Arial" w:hAnsi="Arial" w:cs="Arial"/>
          <w:bCs/>
          <w:i/>
          <w:szCs w:val="24"/>
          <w:lang w:val="az-Latn-AZ"/>
        </w:rPr>
        <w:t>qərarda</w:t>
      </w:r>
      <w:r w:rsidRPr="00F4565B">
        <w:rPr>
          <w:rFonts w:ascii="Arial" w:hAnsi="Arial" w:cs="Arial"/>
          <w:bCs/>
          <w:i/>
          <w:szCs w:val="24"/>
          <w:lang w:val="az-Latn-AZ"/>
        </w:rPr>
        <w:t xml:space="preserve"> isə “digərləri</w:t>
      </w:r>
      <w:r w:rsidRPr="000F0835">
        <w:rPr>
          <w:rFonts w:ascii="Arial" w:hAnsi="Arial" w:cs="Arial"/>
          <w:bCs/>
          <w:i/>
          <w:szCs w:val="24"/>
          <w:lang w:val="az-Latn-AZ"/>
        </w:rPr>
        <w:t>” qrupuna “Sənaye və kənd təsərrüfatı”ndan başqa bütün istehlakçılar aiddir.</w:t>
      </w:r>
    </w:p>
    <w:p w14:paraId="7A57B617" w14:textId="77777777" w:rsidR="008E2BBE" w:rsidRPr="000F0835" w:rsidRDefault="008E2BBE" w:rsidP="00004A35">
      <w:pPr>
        <w:widowControl w:val="0"/>
        <w:spacing w:before="60" w:after="60" w:line="276" w:lineRule="auto"/>
        <w:jc w:val="both"/>
        <w:rPr>
          <w:rFonts w:ascii="Arial" w:eastAsia="Times New Roman" w:hAnsi="Arial" w:cs="Arial"/>
          <w:b/>
          <w:bCs/>
          <w:szCs w:val="24"/>
          <w:lang w:val="az-Latn-AZ"/>
        </w:rPr>
      </w:pPr>
    </w:p>
    <w:p w14:paraId="063AD5E1" w14:textId="77777777" w:rsidR="005C12EE" w:rsidRPr="000F0835" w:rsidRDefault="005C12EE" w:rsidP="00004A35">
      <w:pPr>
        <w:widowControl w:val="0"/>
        <w:spacing w:after="60" w:line="276" w:lineRule="auto"/>
        <w:jc w:val="both"/>
        <w:rPr>
          <w:rFonts w:eastAsia="Times New Roman" w:cs="Calibri"/>
          <w:b/>
          <w:bCs/>
          <w:sz w:val="28"/>
          <w:szCs w:val="28"/>
          <w:u w:val="single"/>
          <w:lang w:val="az-Latn-AZ"/>
        </w:rPr>
      </w:pPr>
      <w:r w:rsidRPr="000F0835">
        <w:rPr>
          <w:rFonts w:ascii="Arial" w:eastAsia="Times New Roman" w:hAnsi="Arial" w:cs="Arial"/>
          <w:b/>
          <w:bCs/>
          <w:sz w:val="24"/>
          <w:szCs w:val="24"/>
          <w:u w:val="single"/>
          <w:lang w:val="az-Latn-AZ"/>
        </w:rPr>
        <w:t xml:space="preserve">Cədvəl 3. </w:t>
      </w:r>
      <w:r w:rsidRPr="000F0835">
        <w:rPr>
          <w:rFonts w:ascii="Arial" w:eastAsia="Times New Roman" w:hAnsi="Arial" w:cs="Arial"/>
          <w:b/>
          <w:sz w:val="24"/>
          <w:szCs w:val="24"/>
          <w:u w:val="single"/>
          <w:lang w:val="az-Latn-AZ"/>
        </w:rPr>
        <w:t xml:space="preserve">Su </w:t>
      </w:r>
      <w:r w:rsidRPr="000F0835">
        <w:rPr>
          <w:rFonts w:eastAsia="Times New Roman" w:cs="Calibri"/>
          <w:b/>
          <w:bCs/>
          <w:iCs/>
          <w:sz w:val="28"/>
          <w:szCs w:val="28"/>
          <w:u w:val="single"/>
          <w:lang w:val="az-Latn-AZ"/>
        </w:rPr>
        <w:t xml:space="preserve">təchizatı və </w:t>
      </w:r>
      <w:r w:rsidRPr="000F0835">
        <w:rPr>
          <w:rFonts w:eastAsia="Times New Roman" w:cs="Calibri"/>
          <w:b/>
          <w:bCs/>
          <w:sz w:val="28"/>
          <w:szCs w:val="28"/>
          <w:u w:val="single"/>
          <w:lang w:val="az-Latn-AZ"/>
        </w:rPr>
        <w:t>tullantı sularının axıdılması şəbəkələrinə qoşulma tarifləri</w:t>
      </w:r>
    </w:p>
    <w:p w14:paraId="1D79E954" w14:textId="6645AD7C" w:rsidR="005C12EE" w:rsidRPr="000F0835" w:rsidRDefault="00613309" w:rsidP="00004A35">
      <w:pPr>
        <w:widowControl w:val="0"/>
        <w:spacing w:after="60" w:line="276" w:lineRule="auto"/>
        <w:jc w:val="both"/>
        <w:rPr>
          <w:rFonts w:ascii="Arial" w:eastAsia="Times New Roman" w:hAnsi="Arial" w:cs="Arial"/>
          <w:b/>
          <w:bCs/>
          <w:sz w:val="24"/>
          <w:szCs w:val="24"/>
          <w:u w:val="single"/>
          <w:lang w:val="az-Latn-AZ"/>
        </w:rPr>
      </w:pPr>
      <w:r w:rsidRPr="000F0835">
        <w:rPr>
          <w:rFonts w:ascii="Arial" w:eastAsia="Times New Roman" w:hAnsi="Arial" w:cs="Arial"/>
          <w:b/>
          <w:sz w:val="24"/>
          <w:szCs w:val="24"/>
          <w:u w:val="single"/>
          <w:lang w:val="az-Latn-AZ"/>
        </w:rPr>
        <w:t xml:space="preserve">Əhali </w:t>
      </w:r>
      <w:r w:rsidR="005C12EE" w:rsidRPr="000F0835">
        <w:rPr>
          <w:rFonts w:ascii="Arial" w:eastAsia="Times New Roman" w:hAnsi="Arial" w:cs="Arial"/>
          <w:b/>
          <w:sz w:val="24"/>
          <w:szCs w:val="24"/>
          <w:u w:val="single"/>
          <w:lang w:val="az-Latn-AZ"/>
        </w:rPr>
        <w:t>abonentləri üzrə:</w:t>
      </w:r>
    </w:p>
    <w:p w14:paraId="68F8F116" w14:textId="77777777" w:rsidR="005C12EE" w:rsidRPr="000F0835" w:rsidRDefault="005C12EE" w:rsidP="00004A35">
      <w:pPr>
        <w:spacing w:after="120" w:line="240" w:lineRule="auto"/>
        <w:ind w:left="360"/>
        <w:jc w:val="both"/>
        <w:rPr>
          <w:rFonts w:ascii="Arial" w:eastAsia="Times New Roman" w:hAnsi="Arial" w:cs="Arial"/>
          <w:b/>
          <w:sz w:val="2"/>
          <w:szCs w:val="24"/>
          <w:lang w:val="az-Latn-AZ"/>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290"/>
        <w:gridCol w:w="5386"/>
        <w:gridCol w:w="2411"/>
      </w:tblGrid>
      <w:tr w:rsidR="000F0835" w:rsidRPr="00CA2475" w14:paraId="35270F89" w14:textId="77777777" w:rsidTr="006F7423">
        <w:trPr>
          <w:trHeight w:val="340"/>
        </w:trPr>
        <w:tc>
          <w:tcPr>
            <w:tcW w:w="690" w:type="dxa"/>
            <w:vAlign w:val="center"/>
          </w:tcPr>
          <w:p w14:paraId="3145D453"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Sıra №si</w:t>
            </w:r>
          </w:p>
        </w:tc>
        <w:tc>
          <w:tcPr>
            <w:tcW w:w="1290" w:type="dxa"/>
            <w:shd w:val="clear" w:color="auto" w:fill="auto"/>
            <w:vAlign w:val="center"/>
            <w:hideMark/>
          </w:tcPr>
          <w:p w14:paraId="5EEF4D3E"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Borunun diametri, millimetr</w:t>
            </w:r>
          </w:p>
        </w:tc>
        <w:tc>
          <w:tcPr>
            <w:tcW w:w="5386" w:type="dxa"/>
            <w:shd w:val="clear" w:color="auto" w:fill="auto"/>
            <w:noWrap/>
            <w:vAlign w:val="bottom"/>
            <w:hideMark/>
          </w:tcPr>
          <w:p w14:paraId="1D731C3E" w14:textId="77777777" w:rsidR="005C12EE" w:rsidRPr="000F0835" w:rsidRDefault="005C12EE" w:rsidP="00004A35">
            <w:pPr>
              <w:spacing w:after="0" w:line="240" w:lineRule="auto"/>
              <w:rPr>
                <w:rFonts w:ascii="Arial" w:eastAsia="Times New Roman" w:hAnsi="Arial" w:cs="Arial"/>
                <w:lang w:val="az-Latn-AZ"/>
              </w:rPr>
            </w:pPr>
            <w:r w:rsidRPr="000F0835">
              <w:rPr>
                <w:rFonts w:ascii="Arial" w:eastAsia="Times New Roman" w:hAnsi="Arial" w:cs="Arial"/>
                <w:lang w:val="az-Latn-AZ"/>
              </w:rPr>
              <w:t> </w:t>
            </w:r>
          </w:p>
        </w:tc>
        <w:tc>
          <w:tcPr>
            <w:tcW w:w="2411" w:type="dxa"/>
            <w:shd w:val="clear" w:color="auto" w:fill="auto"/>
            <w:vAlign w:val="center"/>
            <w:hideMark/>
          </w:tcPr>
          <w:p w14:paraId="640F2C65"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Qoşulma xidmətinə görə ödəniş məbləği (ƏDV ilə, manat)</w:t>
            </w:r>
          </w:p>
        </w:tc>
      </w:tr>
      <w:tr w:rsidR="000F0835" w:rsidRPr="000F0835" w14:paraId="7EB68481" w14:textId="77777777" w:rsidTr="006F7423">
        <w:trPr>
          <w:trHeight w:val="340"/>
        </w:trPr>
        <w:tc>
          <w:tcPr>
            <w:tcW w:w="690" w:type="dxa"/>
            <w:vAlign w:val="center"/>
          </w:tcPr>
          <w:p w14:paraId="368BC360"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1.</w:t>
            </w:r>
          </w:p>
        </w:tc>
        <w:tc>
          <w:tcPr>
            <w:tcW w:w="9087" w:type="dxa"/>
            <w:gridSpan w:val="3"/>
            <w:shd w:val="clear" w:color="auto" w:fill="auto"/>
            <w:vAlign w:val="center"/>
            <w:hideMark/>
          </w:tcPr>
          <w:p w14:paraId="2AD31417"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Su təchizatı şəbəkəsi üzrə</w:t>
            </w:r>
          </w:p>
        </w:tc>
      </w:tr>
      <w:tr w:rsidR="000F0835" w:rsidRPr="000F0835" w14:paraId="5A8DC609" w14:textId="77777777" w:rsidTr="006F7423">
        <w:trPr>
          <w:trHeight w:val="340"/>
        </w:trPr>
        <w:tc>
          <w:tcPr>
            <w:tcW w:w="690" w:type="dxa"/>
            <w:vAlign w:val="center"/>
          </w:tcPr>
          <w:p w14:paraId="3B06340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1.1</w:t>
            </w:r>
          </w:p>
        </w:tc>
        <w:tc>
          <w:tcPr>
            <w:tcW w:w="1290" w:type="dxa"/>
            <w:vMerge w:val="restart"/>
            <w:shd w:val="clear" w:color="auto" w:fill="auto"/>
            <w:vAlign w:val="center"/>
            <w:hideMark/>
          </w:tcPr>
          <w:p w14:paraId="7806275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D32</w:t>
            </w:r>
          </w:p>
        </w:tc>
        <w:tc>
          <w:tcPr>
            <w:tcW w:w="5386" w:type="dxa"/>
            <w:shd w:val="clear" w:color="auto" w:fill="auto"/>
            <w:vAlign w:val="center"/>
            <w:hideMark/>
          </w:tcPr>
          <w:p w14:paraId="1F1FFCB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Bakı, Sumqayıt, Xırdalan şəhərləri, Abşeron rayonu</w:t>
            </w:r>
          </w:p>
        </w:tc>
        <w:tc>
          <w:tcPr>
            <w:tcW w:w="2411" w:type="dxa"/>
            <w:shd w:val="clear" w:color="auto" w:fill="auto"/>
            <w:vAlign w:val="center"/>
            <w:hideMark/>
          </w:tcPr>
          <w:p w14:paraId="292DBBE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200</w:t>
            </w:r>
          </w:p>
        </w:tc>
      </w:tr>
      <w:tr w:rsidR="000F0835" w:rsidRPr="000F0835" w14:paraId="3FACF44B" w14:textId="77777777" w:rsidTr="006F7423">
        <w:trPr>
          <w:trHeight w:val="340"/>
        </w:trPr>
        <w:tc>
          <w:tcPr>
            <w:tcW w:w="690" w:type="dxa"/>
            <w:vAlign w:val="center"/>
          </w:tcPr>
          <w:p w14:paraId="0BF3278E"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1.2</w:t>
            </w:r>
          </w:p>
        </w:tc>
        <w:tc>
          <w:tcPr>
            <w:tcW w:w="1290" w:type="dxa"/>
            <w:vMerge/>
            <w:vAlign w:val="center"/>
            <w:hideMark/>
          </w:tcPr>
          <w:p w14:paraId="0A4135BA" w14:textId="77777777" w:rsidR="005C12EE" w:rsidRPr="000F0835" w:rsidRDefault="005C12EE" w:rsidP="00004A35">
            <w:pPr>
              <w:spacing w:after="0" w:line="240" w:lineRule="auto"/>
              <w:rPr>
                <w:rFonts w:ascii="Arial" w:eastAsia="Times New Roman" w:hAnsi="Arial" w:cs="Arial"/>
                <w:lang w:val="az-Latn-AZ"/>
              </w:rPr>
            </w:pPr>
          </w:p>
        </w:tc>
        <w:tc>
          <w:tcPr>
            <w:tcW w:w="5386" w:type="dxa"/>
            <w:shd w:val="clear" w:color="auto" w:fill="auto"/>
            <w:vAlign w:val="center"/>
            <w:hideMark/>
          </w:tcPr>
          <w:p w14:paraId="02B6CA7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Digər inzibati ərazi vahidləri üzrə</w:t>
            </w:r>
          </w:p>
        </w:tc>
        <w:tc>
          <w:tcPr>
            <w:tcW w:w="2411" w:type="dxa"/>
            <w:shd w:val="clear" w:color="auto" w:fill="auto"/>
            <w:vAlign w:val="center"/>
            <w:hideMark/>
          </w:tcPr>
          <w:p w14:paraId="3981B29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170</w:t>
            </w:r>
          </w:p>
        </w:tc>
      </w:tr>
      <w:tr w:rsidR="000F0835" w:rsidRPr="00CA2475" w14:paraId="5BCE9C86" w14:textId="77777777" w:rsidTr="006F7423">
        <w:trPr>
          <w:trHeight w:val="340"/>
        </w:trPr>
        <w:tc>
          <w:tcPr>
            <w:tcW w:w="690" w:type="dxa"/>
            <w:vAlign w:val="center"/>
          </w:tcPr>
          <w:p w14:paraId="6924BCE2"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2.</w:t>
            </w:r>
          </w:p>
        </w:tc>
        <w:tc>
          <w:tcPr>
            <w:tcW w:w="9087" w:type="dxa"/>
            <w:gridSpan w:val="3"/>
            <w:shd w:val="clear" w:color="auto" w:fill="auto"/>
            <w:vAlign w:val="center"/>
            <w:hideMark/>
          </w:tcPr>
          <w:p w14:paraId="416F098F"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Tullantı sularının axıdılması şəbəkəsi üzrə</w:t>
            </w:r>
          </w:p>
        </w:tc>
      </w:tr>
      <w:tr w:rsidR="000F0835" w:rsidRPr="000F0835" w14:paraId="6A27865D" w14:textId="77777777" w:rsidTr="006F7423">
        <w:trPr>
          <w:trHeight w:val="340"/>
        </w:trPr>
        <w:tc>
          <w:tcPr>
            <w:tcW w:w="690" w:type="dxa"/>
            <w:vAlign w:val="center"/>
          </w:tcPr>
          <w:p w14:paraId="205797E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2.1</w:t>
            </w:r>
          </w:p>
        </w:tc>
        <w:tc>
          <w:tcPr>
            <w:tcW w:w="1290" w:type="dxa"/>
            <w:vMerge w:val="restart"/>
            <w:shd w:val="clear" w:color="auto" w:fill="auto"/>
            <w:vAlign w:val="center"/>
            <w:hideMark/>
          </w:tcPr>
          <w:p w14:paraId="5B6B168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D150</w:t>
            </w:r>
          </w:p>
        </w:tc>
        <w:tc>
          <w:tcPr>
            <w:tcW w:w="5386" w:type="dxa"/>
            <w:shd w:val="clear" w:color="auto" w:fill="auto"/>
            <w:vAlign w:val="center"/>
            <w:hideMark/>
          </w:tcPr>
          <w:p w14:paraId="364B9621"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Bakı, Sumqayıt, Xırdalan şəhərləri, Abşeron rayonu</w:t>
            </w:r>
          </w:p>
        </w:tc>
        <w:tc>
          <w:tcPr>
            <w:tcW w:w="2411" w:type="dxa"/>
            <w:shd w:val="clear" w:color="auto" w:fill="auto"/>
            <w:vAlign w:val="center"/>
            <w:hideMark/>
          </w:tcPr>
          <w:p w14:paraId="0CCB311B"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345</w:t>
            </w:r>
          </w:p>
        </w:tc>
      </w:tr>
      <w:tr w:rsidR="005C12EE" w:rsidRPr="000F0835" w14:paraId="3A10AAD9" w14:textId="77777777" w:rsidTr="006F7423">
        <w:trPr>
          <w:trHeight w:val="340"/>
        </w:trPr>
        <w:tc>
          <w:tcPr>
            <w:tcW w:w="690" w:type="dxa"/>
            <w:vAlign w:val="center"/>
          </w:tcPr>
          <w:p w14:paraId="095A886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2.2</w:t>
            </w:r>
          </w:p>
        </w:tc>
        <w:tc>
          <w:tcPr>
            <w:tcW w:w="1290" w:type="dxa"/>
            <w:vMerge/>
            <w:vAlign w:val="center"/>
            <w:hideMark/>
          </w:tcPr>
          <w:p w14:paraId="712FE9D3" w14:textId="77777777" w:rsidR="005C12EE" w:rsidRPr="000F0835" w:rsidRDefault="005C12EE" w:rsidP="00004A35">
            <w:pPr>
              <w:spacing w:after="0" w:line="240" w:lineRule="auto"/>
              <w:rPr>
                <w:rFonts w:ascii="Arial" w:eastAsia="Times New Roman" w:hAnsi="Arial" w:cs="Arial"/>
                <w:lang w:val="az-Latn-AZ"/>
              </w:rPr>
            </w:pPr>
          </w:p>
        </w:tc>
        <w:tc>
          <w:tcPr>
            <w:tcW w:w="5386" w:type="dxa"/>
            <w:shd w:val="clear" w:color="auto" w:fill="auto"/>
            <w:vAlign w:val="center"/>
            <w:hideMark/>
          </w:tcPr>
          <w:p w14:paraId="562A410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Digər inzibati ərazi vahidləri üzrə</w:t>
            </w:r>
          </w:p>
        </w:tc>
        <w:tc>
          <w:tcPr>
            <w:tcW w:w="2411" w:type="dxa"/>
            <w:shd w:val="clear" w:color="auto" w:fill="auto"/>
            <w:vAlign w:val="center"/>
            <w:hideMark/>
          </w:tcPr>
          <w:p w14:paraId="2E0CBF3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290</w:t>
            </w:r>
          </w:p>
        </w:tc>
      </w:tr>
    </w:tbl>
    <w:p w14:paraId="726F29AB" w14:textId="77777777" w:rsidR="005C12EE" w:rsidRPr="000F0835" w:rsidRDefault="005C12EE" w:rsidP="00004A35">
      <w:pPr>
        <w:spacing w:after="120" w:line="240" w:lineRule="auto"/>
        <w:rPr>
          <w:rFonts w:ascii="Arial" w:eastAsia="Times New Roman" w:hAnsi="Arial" w:cs="Arial"/>
          <w:b/>
          <w:sz w:val="2"/>
          <w:szCs w:val="2"/>
          <w:lang w:val="az-Latn-AZ"/>
        </w:rPr>
      </w:pPr>
    </w:p>
    <w:p w14:paraId="2D9E83AD" w14:textId="77777777" w:rsidR="005C12EE" w:rsidRPr="000F0835" w:rsidRDefault="005C12EE" w:rsidP="00004A35">
      <w:pPr>
        <w:spacing w:after="120" w:line="240" w:lineRule="auto"/>
        <w:rPr>
          <w:rFonts w:ascii="Arial" w:eastAsia="Times New Roman" w:hAnsi="Arial" w:cs="Arial"/>
          <w:b/>
          <w:sz w:val="24"/>
          <w:szCs w:val="24"/>
          <w:lang w:val="az-Latn-AZ"/>
        </w:rPr>
      </w:pPr>
      <w:r w:rsidRPr="000F0835">
        <w:rPr>
          <w:rFonts w:ascii="Arial" w:eastAsia="Times New Roman" w:hAnsi="Arial" w:cs="Arial"/>
          <w:b/>
          <w:sz w:val="24"/>
          <w:szCs w:val="24"/>
          <w:lang w:val="az-Latn-AZ"/>
        </w:rPr>
        <w:t>Sutka ərzində tələb olunan buraxılış həcmi 100 kubmetrə qədər olan (100 kubmetr daxil olmaqla) mövcud və ya inşa ediləcək tikinti obyektləri üzrə:</w:t>
      </w:r>
    </w:p>
    <w:p w14:paraId="352E55BF" w14:textId="77777777" w:rsidR="005C12EE" w:rsidRPr="000F0835" w:rsidRDefault="005C12EE" w:rsidP="00004A35">
      <w:pPr>
        <w:spacing w:after="120" w:line="240" w:lineRule="auto"/>
        <w:ind w:left="360"/>
        <w:jc w:val="both"/>
        <w:rPr>
          <w:rFonts w:ascii="Arial" w:eastAsia="Times New Roman" w:hAnsi="Arial" w:cs="Arial"/>
          <w:sz w:val="8"/>
          <w:szCs w:val="24"/>
          <w:lang w:val="az-Latn-AZ"/>
        </w:rPr>
      </w:pPr>
    </w:p>
    <w:tbl>
      <w:tblPr>
        <w:tblW w:w="9776" w:type="dxa"/>
        <w:tblLook w:val="04A0" w:firstRow="1" w:lastRow="0" w:firstColumn="1" w:lastColumn="0" w:noHBand="0" w:noVBand="1"/>
      </w:tblPr>
      <w:tblGrid>
        <w:gridCol w:w="900"/>
        <w:gridCol w:w="4765"/>
        <w:gridCol w:w="4111"/>
      </w:tblGrid>
      <w:tr w:rsidR="000F0835" w:rsidRPr="00CA2475" w14:paraId="0963FC9B"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4D9C4851"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Sıra №si</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33A6"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 xml:space="preserve">Borunun diametri, </w:t>
            </w:r>
          </w:p>
          <w:p w14:paraId="33BD5A8C"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millimetr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2476E6D"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Qoşulma xidmətinə görə ödənişin məbləği (ƏDV ilə, manat)</w:t>
            </w:r>
          </w:p>
        </w:tc>
      </w:tr>
      <w:tr w:rsidR="000F0835" w:rsidRPr="000F0835" w14:paraId="5BACD490"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5BDE71D8"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1.</w:t>
            </w:r>
          </w:p>
        </w:tc>
        <w:tc>
          <w:tcPr>
            <w:tcW w:w="8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24A64"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Su təchizatı şəbəkəsi üzrə</w:t>
            </w:r>
          </w:p>
        </w:tc>
      </w:tr>
      <w:tr w:rsidR="000F0835" w:rsidRPr="000F0835" w14:paraId="7007700E"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10638A6E"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1.1</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269F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D32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E66FD1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995</w:t>
            </w:r>
          </w:p>
        </w:tc>
      </w:tr>
      <w:tr w:rsidR="000F0835" w:rsidRPr="000F0835" w14:paraId="22EFD895"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6862C51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1.2</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FF4E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D40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AD1EFF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1015</w:t>
            </w:r>
          </w:p>
        </w:tc>
      </w:tr>
      <w:tr w:rsidR="000F0835" w:rsidRPr="00CA2475" w14:paraId="08530ABC"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66549DA6"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2.</w:t>
            </w:r>
          </w:p>
        </w:tc>
        <w:tc>
          <w:tcPr>
            <w:tcW w:w="8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0DB1F"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Tullantı sularının axıdılması şəbəkəsi üzrə</w:t>
            </w:r>
          </w:p>
        </w:tc>
      </w:tr>
      <w:tr w:rsidR="000F0835" w:rsidRPr="000F0835" w14:paraId="6CC96C51" w14:textId="77777777" w:rsidTr="00D76EEE">
        <w:trPr>
          <w:trHeight w:val="340"/>
        </w:trPr>
        <w:tc>
          <w:tcPr>
            <w:tcW w:w="900" w:type="dxa"/>
            <w:tcBorders>
              <w:top w:val="single" w:sz="4" w:space="0" w:color="auto"/>
              <w:left w:val="single" w:sz="4" w:space="0" w:color="auto"/>
              <w:bottom w:val="single" w:sz="4" w:space="0" w:color="auto"/>
              <w:right w:val="single" w:sz="4" w:space="0" w:color="auto"/>
            </w:tcBorders>
            <w:vAlign w:val="center"/>
          </w:tcPr>
          <w:p w14:paraId="74CF72E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2.1</w:t>
            </w:r>
          </w:p>
        </w:tc>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343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D150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5D4B8FC"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1635</w:t>
            </w:r>
          </w:p>
        </w:tc>
      </w:tr>
    </w:tbl>
    <w:p w14:paraId="6040C1E8" w14:textId="195084E5" w:rsidR="005C12EE" w:rsidRPr="000F0835" w:rsidRDefault="005C12EE" w:rsidP="00004A35">
      <w:pPr>
        <w:spacing w:after="120" w:line="240" w:lineRule="auto"/>
        <w:rPr>
          <w:rFonts w:ascii="Arial" w:eastAsia="Times New Roman" w:hAnsi="Arial" w:cs="Arial"/>
          <w:b/>
          <w:sz w:val="24"/>
          <w:szCs w:val="24"/>
          <w:lang w:val="az-Latn-AZ"/>
        </w:rPr>
      </w:pPr>
      <w:r w:rsidRPr="000F0835">
        <w:rPr>
          <w:rFonts w:ascii="Arial" w:eastAsia="Times New Roman" w:hAnsi="Arial" w:cs="Arial"/>
          <w:b/>
          <w:sz w:val="24"/>
          <w:szCs w:val="24"/>
          <w:lang w:val="az-Latn-AZ"/>
        </w:rPr>
        <w:lastRenderedPageBreak/>
        <w:t>Sutka ərzində tələb olunan buraxılış həcmi 100 kubmetrdən yuxarı mövcud və ya inşa ediləcək tikinti obyektləri üzrə:</w:t>
      </w:r>
    </w:p>
    <w:tbl>
      <w:tblPr>
        <w:tblW w:w="9923" w:type="dxa"/>
        <w:tblInd w:w="-5" w:type="dxa"/>
        <w:tblLook w:val="04A0" w:firstRow="1" w:lastRow="0" w:firstColumn="1" w:lastColumn="0" w:noHBand="0" w:noVBand="1"/>
      </w:tblPr>
      <w:tblGrid>
        <w:gridCol w:w="645"/>
        <w:gridCol w:w="1230"/>
        <w:gridCol w:w="1489"/>
        <w:gridCol w:w="1965"/>
        <w:gridCol w:w="2274"/>
        <w:gridCol w:w="2320"/>
      </w:tblGrid>
      <w:tr w:rsidR="000F0835" w:rsidRPr="00CA2475" w14:paraId="3520F3BE" w14:textId="77777777" w:rsidTr="000F3E02">
        <w:trPr>
          <w:trHeight w:val="340"/>
        </w:trPr>
        <w:tc>
          <w:tcPr>
            <w:tcW w:w="329" w:type="dxa"/>
            <w:vMerge w:val="restart"/>
            <w:tcBorders>
              <w:top w:val="single" w:sz="4" w:space="0" w:color="auto"/>
              <w:left w:val="single" w:sz="4" w:space="0" w:color="auto"/>
              <w:right w:val="single" w:sz="4" w:space="0" w:color="auto"/>
            </w:tcBorders>
            <w:vAlign w:val="center"/>
          </w:tcPr>
          <w:p w14:paraId="2F5BD5DF"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Sıra №si</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897C3" w14:textId="112E84FB"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Borunun diametri,</w:t>
            </w:r>
            <w:r w:rsidR="005A19FC" w:rsidRPr="000F0835">
              <w:rPr>
                <w:rFonts w:ascii="Arial" w:eastAsia="Times New Roman" w:hAnsi="Arial" w:cs="Arial"/>
                <w:b/>
                <w:bCs/>
                <w:lang w:val="az-Latn-AZ"/>
              </w:rPr>
              <w:t xml:space="preserve"> </w:t>
            </w:r>
            <w:r w:rsidRPr="000F0835">
              <w:rPr>
                <w:rFonts w:ascii="Arial" w:eastAsia="Times New Roman" w:hAnsi="Arial" w:cs="Arial"/>
                <w:b/>
                <w:bCs/>
                <w:lang w:val="az-Latn-AZ"/>
              </w:rPr>
              <w:t>millimetr</w:t>
            </w:r>
          </w:p>
        </w:tc>
        <w:tc>
          <w:tcPr>
            <w:tcW w:w="8349" w:type="dxa"/>
            <w:gridSpan w:val="4"/>
            <w:tcBorders>
              <w:top w:val="single" w:sz="4" w:space="0" w:color="auto"/>
              <w:left w:val="nil"/>
              <w:bottom w:val="single" w:sz="4" w:space="0" w:color="auto"/>
              <w:right w:val="single" w:sz="4" w:space="0" w:color="auto"/>
            </w:tcBorders>
            <w:shd w:val="clear" w:color="auto" w:fill="auto"/>
            <w:vAlign w:val="center"/>
            <w:hideMark/>
          </w:tcPr>
          <w:p w14:paraId="3D53062E"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 xml:space="preserve">Qoşulma xidmətinə görə ödənişin məbləği (ƏDV ilə, manat) </w:t>
            </w:r>
          </w:p>
        </w:tc>
      </w:tr>
      <w:tr w:rsidR="000F0835" w:rsidRPr="00CA2475" w14:paraId="6003F0AA" w14:textId="77777777" w:rsidTr="000F3E02">
        <w:trPr>
          <w:trHeight w:val="340"/>
        </w:trPr>
        <w:tc>
          <w:tcPr>
            <w:tcW w:w="329" w:type="dxa"/>
            <w:vMerge/>
            <w:tcBorders>
              <w:left w:val="single" w:sz="4" w:space="0" w:color="auto"/>
              <w:bottom w:val="single" w:sz="4" w:space="0" w:color="auto"/>
              <w:right w:val="single" w:sz="4" w:space="0" w:color="auto"/>
            </w:tcBorders>
          </w:tcPr>
          <w:p w14:paraId="4C33A27B" w14:textId="77777777" w:rsidR="005C12EE" w:rsidRPr="000F0835" w:rsidRDefault="005C12EE" w:rsidP="00004A35">
            <w:pPr>
              <w:spacing w:after="0" w:line="240" w:lineRule="auto"/>
              <w:rPr>
                <w:rFonts w:ascii="Arial" w:eastAsia="Times New Roman" w:hAnsi="Arial" w:cs="Arial"/>
                <w:b/>
                <w:bCs/>
                <w:lang w:val="az-Latn-AZ"/>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3ED1615" w14:textId="77777777" w:rsidR="005C12EE" w:rsidRPr="000F0835" w:rsidRDefault="005C12EE" w:rsidP="00004A35">
            <w:pPr>
              <w:spacing w:after="0" w:line="240" w:lineRule="auto"/>
              <w:rPr>
                <w:rFonts w:ascii="Arial" w:eastAsia="Times New Roman" w:hAnsi="Arial" w:cs="Arial"/>
                <w:b/>
                <w:bCs/>
                <w:lang w:val="az-Latn-AZ"/>
              </w:rPr>
            </w:pPr>
          </w:p>
        </w:tc>
        <w:tc>
          <w:tcPr>
            <w:tcW w:w="1545" w:type="dxa"/>
            <w:tcBorders>
              <w:top w:val="nil"/>
              <w:left w:val="nil"/>
              <w:bottom w:val="single" w:sz="4" w:space="0" w:color="auto"/>
              <w:right w:val="single" w:sz="4" w:space="0" w:color="auto"/>
            </w:tcBorders>
            <w:shd w:val="clear" w:color="auto" w:fill="auto"/>
            <w:vAlign w:val="center"/>
            <w:hideMark/>
          </w:tcPr>
          <w:p w14:paraId="697515D1"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Fiziki qoşulma üçün</w:t>
            </w:r>
          </w:p>
        </w:tc>
        <w:tc>
          <w:tcPr>
            <w:tcW w:w="1985" w:type="dxa"/>
            <w:tcBorders>
              <w:top w:val="nil"/>
              <w:left w:val="nil"/>
              <w:bottom w:val="single" w:sz="4" w:space="0" w:color="auto"/>
              <w:right w:val="single" w:sz="4" w:space="0" w:color="auto"/>
            </w:tcBorders>
            <w:shd w:val="clear" w:color="auto" w:fill="auto"/>
            <w:vAlign w:val="center"/>
            <w:hideMark/>
          </w:tcPr>
          <w:p w14:paraId="4BD2EC3C"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Layihələndirmə işləri və fiziki qoşulma üçün</w:t>
            </w:r>
          </w:p>
        </w:tc>
        <w:tc>
          <w:tcPr>
            <w:tcW w:w="2404" w:type="dxa"/>
            <w:tcBorders>
              <w:top w:val="nil"/>
              <w:left w:val="nil"/>
              <w:bottom w:val="single" w:sz="4" w:space="0" w:color="auto"/>
              <w:right w:val="single" w:sz="4" w:space="0" w:color="auto"/>
            </w:tcBorders>
            <w:shd w:val="clear" w:color="auto" w:fill="auto"/>
            <w:vAlign w:val="center"/>
            <w:hideMark/>
          </w:tcPr>
          <w:p w14:paraId="75BD968E"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Tikinti-quraşdırma işləri və fiziki qoşulma üçün</w:t>
            </w:r>
          </w:p>
        </w:tc>
        <w:tc>
          <w:tcPr>
            <w:tcW w:w="2415" w:type="dxa"/>
            <w:tcBorders>
              <w:top w:val="nil"/>
              <w:left w:val="nil"/>
              <w:bottom w:val="single" w:sz="4" w:space="0" w:color="auto"/>
              <w:right w:val="single" w:sz="4" w:space="0" w:color="auto"/>
            </w:tcBorders>
            <w:shd w:val="clear" w:color="auto" w:fill="auto"/>
            <w:vAlign w:val="center"/>
            <w:hideMark/>
          </w:tcPr>
          <w:p w14:paraId="0545C0D9"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Tikinti-quraşdırma, layhələndirmə işləri və fiziki qoşulma üçün</w:t>
            </w:r>
          </w:p>
        </w:tc>
      </w:tr>
      <w:tr w:rsidR="000F0835" w:rsidRPr="000F0835" w14:paraId="5CF3D876" w14:textId="77777777" w:rsidTr="000F3E02">
        <w:trPr>
          <w:trHeight w:val="340"/>
        </w:trPr>
        <w:tc>
          <w:tcPr>
            <w:tcW w:w="329" w:type="dxa"/>
            <w:tcBorders>
              <w:top w:val="single" w:sz="4" w:space="0" w:color="auto"/>
              <w:left w:val="single" w:sz="4" w:space="0" w:color="auto"/>
              <w:bottom w:val="single" w:sz="4" w:space="0" w:color="auto"/>
              <w:right w:val="single" w:sz="4" w:space="0" w:color="auto"/>
            </w:tcBorders>
            <w:vAlign w:val="center"/>
          </w:tcPr>
          <w:p w14:paraId="12348D91"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1.</w:t>
            </w:r>
          </w:p>
        </w:tc>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27A50F" w14:textId="77777777" w:rsidR="005C12EE" w:rsidRPr="000F0835" w:rsidRDefault="005C12EE" w:rsidP="00004A35">
            <w:pPr>
              <w:spacing w:after="0" w:line="240" w:lineRule="auto"/>
              <w:jc w:val="center"/>
              <w:rPr>
                <w:rFonts w:ascii="Arial" w:eastAsia="Times New Roman" w:hAnsi="Arial" w:cs="Arial"/>
                <w:b/>
                <w:bCs/>
                <w:iCs/>
                <w:lang w:val="az-Latn-AZ"/>
              </w:rPr>
            </w:pPr>
            <w:r w:rsidRPr="000F0835">
              <w:rPr>
                <w:rFonts w:ascii="Arial" w:eastAsia="Times New Roman" w:hAnsi="Arial" w:cs="Arial"/>
                <w:b/>
                <w:bCs/>
                <w:iCs/>
                <w:lang w:val="az-Latn-AZ"/>
              </w:rPr>
              <w:t>Su təchizatı şəbəkəsi üzrə</w:t>
            </w:r>
          </w:p>
        </w:tc>
      </w:tr>
      <w:tr w:rsidR="000F0835" w:rsidRPr="000F0835" w14:paraId="4C69A99D"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11C4008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1.1</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275631B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D50</w:t>
            </w:r>
          </w:p>
        </w:tc>
        <w:tc>
          <w:tcPr>
            <w:tcW w:w="1545" w:type="dxa"/>
            <w:tcBorders>
              <w:top w:val="nil"/>
              <w:left w:val="nil"/>
              <w:bottom w:val="single" w:sz="4" w:space="0" w:color="auto"/>
              <w:right w:val="single" w:sz="4" w:space="0" w:color="auto"/>
            </w:tcBorders>
            <w:shd w:val="clear" w:color="auto" w:fill="auto"/>
            <w:vAlign w:val="center"/>
            <w:hideMark/>
          </w:tcPr>
          <w:p w14:paraId="30BCE83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210</w:t>
            </w:r>
          </w:p>
        </w:tc>
        <w:tc>
          <w:tcPr>
            <w:tcW w:w="1985" w:type="dxa"/>
            <w:tcBorders>
              <w:top w:val="nil"/>
              <w:left w:val="nil"/>
              <w:bottom w:val="single" w:sz="4" w:space="0" w:color="auto"/>
              <w:right w:val="single" w:sz="4" w:space="0" w:color="auto"/>
            </w:tcBorders>
            <w:shd w:val="clear" w:color="auto" w:fill="auto"/>
            <w:vAlign w:val="center"/>
          </w:tcPr>
          <w:p w14:paraId="5A2506B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410</w:t>
            </w:r>
          </w:p>
        </w:tc>
        <w:tc>
          <w:tcPr>
            <w:tcW w:w="2404" w:type="dxa"/>
            <w:tcBorders>
              <w:top w:val="nil"/>
              <w:left w:val="nil"/>
              <w:bottom w:val="single" w:sz="4" w:space="0" w:color="auto"/>
              <w:right w:val="single" w:sz="4" w:space="0" w:color="auto"/>
            </w:tcBorders>
            <w:shd w:val="clear" w:color="auto" w:fill="auto"/>
            <w:vAlign w:val="center"/>
          </w:tcPr>
          <w:p w14:paraId="598006B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1255</w:t>
            </w:r>
          </w:p>
        </w:tc>
        <w:tc>
          <w:tcPr>
            <w:tcW w:w="2415" w:type="dxa"/>
            <w:tcBorders>
              <w:top w:val="nil"/>
              <w:left w:val="nil"/>
              <w:bottom w:val="single" w:sz="4" w:space="0" w:color="auto"/>
              <w:right w:val="single" w:sz="4" w:space="0" w:color="auto"/>
            </w:tcBorders>
            <w:shd w:val="clear" w:color="auto" w:fill="auto"/>
            <w:vAlign w:val="center"/>
          </w:tcPr>
          <w:p w14:paraId="1F8F02C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1455</w:t>
            </w:r>
          </w:p>
        </w:tc>
      </w:tr>
      <w:tr w:rsidR="000F0835" w:rsidRPr="000F0835" w14:paraId="411F89AB"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0C9CBD6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1.2</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741B22A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D63</w:t>
            </w:r>
          </w:p>
        </w:tc>
        <w:tc>
          <w:tcPr>
            <w:tcW w:w="1545" w:type="dxa"/>
            <w:tcBorders>
              <w:top w:val="nil"/>
              <w:left w:val="nil"/>
              <w:bottom w:val="single" w:sz="4" w:space="0" w:color="auto"/>
              <w:right w:val="single" w:sz="4" w:space="0" w:color="auto"/>
            </w:tcBorders>
            <w:shd w:val="clear" w:color="auto" w:fill="auto"/>
            <w:vAlign w:val="center"/>
            <w:hideMark/>
          </w:tcPr>
          <w:p w14:paraId="500D8C1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215</w:t>
            </w:r>
          </w:p>
        </w:tc>
        <w:tc>
          <w:tcPr>
            <w:tcW w:w="1985" w:type="dxa"/>
            <w:tcBorders>
              <w:top w:val="nil"/>
              <w:left w:val="nil"/>
              <w:bottom w:val="single" w:sz="4" w:space="0" w:color="auto"/>
              <w:right w:val="single" w:sz="4" w:space="0" w:color="auto"/>
            </w:tcBorders>
            <w:shd w:val="clear" w:color="auto" w:fill="auto"/>
            <w:vAlign w:val="center"/>
          </w:tcPr>
          <w:p w14:paraId="32C4B21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420</w:t>
            </w:r>
          </w:p>
        </w:tc>
        <w:tc>
          <w:tcPr>
            <w:tcW w:w="2404" w:type="dxa"/>
            <w:tcBorders>
              <w:top w:val="nil"/>
              <w:left w:val="nil"/>
              <w:bottom w:val="single" w:sz="4" w:space="0" w:color="auto"/>
              <w:right w:val="single" w:sz="4" w:space="0" w:color="auto"/>
            </w:tcBorders>
            <w:shd w:val="clear" w:color="auto" w:fill="auto"/>
            <w:vAlign w:val="center"/>
          </w:tcPr>
          <w:p w14:paraId="3EEFE9E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1300</w:t>
            </w:r>
          </w:p>
        </w:tc>
        <w:tc>
          <w:tcPr>
            <w:tcW w:w="2415" w:type="dxa"/>
            <w:tcBorders>
              <w:top w:val="nil"/>
              <w:left w:val="nil"/>
              <w:bottom w:val="single" w:sz="4" w:space="0" w:color="auto"/>
              <w:right w:val="single" w:sz="4" w:space="0" w:color="auto"/>
            </w:tcBorders>
            <w:shd w:val="clear" w:color="auto" w:fill="auto"/>
            <w:vAlign w:val="center"/>
          </w:tcPr>
          <w:p w14:paraId="14EC1CF4"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1500</w:t>
            </w:r>
          </w:p>
        </w:tc>
      </w:tr>
      <w:tr w:rsidR="000F0835" w:rsidRPr="000F0835" w14:paraId="4B40A762"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71F1347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1.3</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4D76C72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D90</w:t>
            </w:r>
          </w:p>
        </w:tc>
        <w:tc>
          <w:tcPr>
            <w:tcW w:w="1545" w:type="dxa"/>
            <w:tcBorders>
              <w:top w:val="nil"/>
              <w:left w:val="nil"/>
              <w:bottom w:val="single" w:sz="4" w:space="0" w:color="auto"/>
              <w:right w:val="single" w:sz="4" w:space="0" w:color="auto"/>
            </w:tcBorders>
            <w:shd w:val="clear" w:color="auto" w:fill="auto"/>
            <w:vAlign w:val="center"/>
            <w:hideMark/>
          </w:tcPr>
          <w:p w14:paraId="60C2B17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240</w:t>
            </w:r>
          </w:p>
        </w:tc>
        <w:tc>
          <w:tcPr>
            <w:tcW w:w="1985" w:type="dxa"/>
            <w:tcBorders>
              <w:top w:val="nil"/>
              <w:left w:val="nil"/>
              <w:bottom w:val="single" w:sz="4" w:space="0" w:color="auto"/>
              <w:right w:val="single" w:sz="4" w:space="0" w:color="auto"/>
            </w:tcBorders>
            <w:shd w:val="clear" w:color="auto" w:fill="auto"/>
            <w:vAlign w:val="center"/>
          </w:tcPr>
          <w:p w14:paraId="281F89C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440</w:t>
            </w:r>
          </w:p>
        </w:tc>
        <w:tc>
          <w:tcPr>
            <w:tcW w:w="2404" w:type="dxa"/>
            <w:tcBorders>
              <w:top w:val="nil"/>
              <w:left w:val="nil"/>
              <w:bottom w:val="single" w:sz="4" w:space="0" w:color="auto"/>
              <w:right w:val="single" w:sz="4" w:space="0" w:color="auto"/>
            </w:tcBorders>
            <w:shd w:val="clear" w:color="auto" w:fill="auto"/>
            <w:vAlign w:val="center"/>
          </w:tcPr>
          <w:p w14:paraId="5CF4BBA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1425</w:t>
            </w:r>
          </w:p>
        </w:tc>
        <w:tc>
          <w:tcPr>
            <w:tcW w:w="2415" w:type="dxa"/>
            <w:tcBorders>
              <w:top w:val="nil"/>
              <w:left w:val="nil"/>
              <w:bottom w:val="single" w:sz="4" w:space="0" w:color="auto"/>
              <w:right w:val="single" w:sz="4" w:space="0" w:color="auto"/>
            </w:tcBorders>
            <w:shd w:val="clear" w:color="auto" w:fill="auto"/>
            <w:vAlign w:val="center"/>
          </w:tcPr>
          <w:p w14:paraId="33CFF04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1625</w:t>
            </w:r>
          </w:p>
        </w:tc>
      </w:tr>
      <w:tr w:rsidR="000F0835" w:rsidRPr="000F0835" w14:paraId="53983AD5"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0A62362B"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1.4</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74C4C1B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D110</w:t>
            </w:r>
          </w:p>
        </w:tc>
        <w:tc>
          <w:tcPr>
            <w:tcW w:w="1545" w:type="dxa"/>
            <w:tcBorders>
              <w:top w:val="nil"/>
              <w:left w:val="nil"/>
              <w:bottom w:val="single" w:sz="4" w:space="0" w:color="auto"/>
              <w:right w:val="single" w:sz="4" w:space="0" w:color="auto"/>
            </w:tcBorders>
            <w:shd w:val="clear" w:color="auto" w:fill="auto"/>
            <w:vAlign w:val="center"/>
            <w:hideMark/>
          </w:tcPr>
          <w:p w14:paraId="3B49AA1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255</w:t>
            </w:r>
          </w:p>
        </w:tc>
        <w:tc>
          <w:tcPr>
            <w:tcW w:w="1985" w:type="dxa"/>
            <w:tcBorders>
              <w:top w:val="nil"/>
              <w:left w:val="nil"/>
              <w:bottom w:val="single" w:sz="4" w:space="0" w:color="auto"/>
              <w:right w:val="single" w:sz="4" w:space="0" w:color="auto"/>
            </w:tcBorders>
            <w:shd w:val="clear" w:color="auto" w:fill="auto"/>
            <w:vAlign w:val="center"/>
          </w:tcPr>
          <w:p w14:paraId="140EBE7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455</w:t>
            </w:r>
          </w:p>
        </w:tc>
        <w:tc>
          <w:tcPr>
            <w:tcW w:w="2404" w:type="dxa"/>
            <w:tcBorders>
              <w:top w:val="nil"/>
              <w:left w:val="nil"/>
              <w:bottom w:val="single" w:sz="4" w:space="0" w:color="auto"/>
              <w:right w:val="single" w:sz="4" w:space="0" w:color="auto"/>
            </w:tcBorders>
            <w:shd w:val="clear" w:color="auto" w:fill="auto"/>
            <w:vAlign w:val="center"/>
          </w:tcPr>
          <w:p w14:paraId="14ADEF71"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1530</w:t>
            </w:r>
          </w:p>
        </w:tc>
        <w:tc>
          <w:tcPr>
            <w:tcW w:w="2415" w:type="dxa"/>
            <w:tcBorders>
              <w:top w:val="nil"/>
              <w:left w:val="nil"/>
              <w:bottom w:val="single" w:sz="4" w:space="0" w:color="auto"/>
              <w:right w:val="single" w:sz="4" w:space="0" w:color="auto"/>
            </w:tcBorders>
            <w:shd w:val="clear" w:color="auto" w:fill="auto"/>
            <w:vAlign w:val="center"/>
          </w:tcPr>
          <w:p w14:paraId="6FC7807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1730</w:t>
            </w:r>
          </w:p>
        </w:tc>
      </w:tr>
      <w:tr w:rsidR="000F0835" w:rsidRPr="000F0835" w14:paraId="22DBF517"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1215E2E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1.5</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6CAEBCD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D160</w:t>
            </w:r>
          </w:p>
        </w:tc>
        <w:tc>
          <w:tcPr>
            <w:tcW w:w="1545" w:type="dxa"/>
            <w:tcBorders>
              <w:top w:val="nil"/>
              <w:left w:val="nil"/>
              <w:bottom w:val="single" w:sz="4" w:space="0" w:color="auto"/>
              <w:right w:val="single" w:sz="4" w:space="0" w:color="auto"/>
            </w:tcBorders>
            <w:shd w:val="clear" w:color="auto" w:fill="auto"/>
            <w:vAlign w:val="center"/>
            <w:hideMark/>
          </w:tcPr>
          <w:p w14:paraId="068F66C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315</w:t>
            </w:r>
          </w:p>
        </w:tc>
        <w:tc>
          <w:tcPr>
            <w:tcW w:w="1985" w:type="dxa"/>
            <w:tcBorders>
              <w:top w:val="nil"/>
              <w:left w:val="nil"/>
              <w:bottom w:val="single" w:sz="4" w:space="0" w:color="auto"/>
              <w:right w:val="single" w:sz="4" w:space="0" w:color="auto"/>
            </w:tcBorders>
            <w:shd w:val="clear" w:color="auto" w:fill="auto"/>
            <w:vAlign w:val="center"/>
          </w:tcPr>
          <w:p w14:paraId="46670F6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515</w:t>
            </w:r>
          </w:p>
        </w:tc>
        <w:tc>
          <w:tcPr>
            <w:tcW w:w="2404" w:type="dxa"/>
            <w:tcBorders>
              <w:top w:val="nil"/>
              <w:left w:val="nil"/>
              <w:bottom w:val="single" w:sz="4" w:space="0" w:color="auto"/>
              <w:right w:val="single" w:sz="4" w:space="0" w:color="auto"/>
            </w:tcBorders>
            <w:shd w:val="clear" w:color="auto" w:fill="auto"/>
            <w:vAlign w:val="center"/>
          </w:tcPr>
          <w:p w14:paraId="7AC6A8D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1895</w:t>
            </w:r>
          </w:p>
        </w:tc>
        <w:tc>
          <w:tcPr>
            <w:tcW w:w="2415" w:type="dxa"/>
            <w:tcBorders>
              <w:top w:val="nil"/>
              <w:left w:val="nil"/>
              <w:bottom w:val="single" w:sz="4" w:space="0" w:color="auto"/>
              <w:right w:val="single" w:sz="4" w:space="0" w:color="auto"/>
            </w:tcBorders>
            <w:shd w:val="clear" w:color="auto" w:fill="auto"/>
            <w:vAlign w:val="center"/>
          </w:tcPr>
          <w:p w14:paraId="3248832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2095</w:t>
            </w:r>
          </w:p>
        </w:tc>
      </w:tr>
      <w:tr w:rsidR="000F0835" w:rsidRPr="000F0835" w14:paraId="25961611"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6B56343E"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1.6</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651F13E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D225</w:t>
            </w:r>
          </w:p>
        </w:tc>
        <w:tc>
          <w:tcPr>
            <w:tcW w:w="1545" w:type="dxa"/>
            <w:tcBorders>
              <w:top w:val="nil"/>
              <w:left w:val="nil"/>
              <w:bottom w:val="single" w:sz="4" w:space="0" w:color="auto"/>
              <w:right w:val="single" w:sz="4" w:space="0" w:color="auto"/>
            </w:tcBorders>
            <w:shd w:val="clear" w:color="auto" w:fill="auto"/>
            <w:vAlign w:val="center"/>
            <w:hideMark/>
          </w:tcPr>
          <w:p w14:paraId="744B559D"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425</w:t>
            </w:r>
          </w:p>
        </w:tc>
        <w:tc>
          <w:tcPr>
            <w:tcW w:w="1985" w:type="dxa"/>
            <w:tcBorders>
              <w:top w:val="nil"/>
              <w:left w:val="nil"/>
              <w:bottom w:val="single" w:sz="4" w:space="0" w:color="auto"/>
              <w:right w:val="single" w:sz="4" w:space="0" w:color="auto"/>
            </w:tcBorders>
            <w:shd w:val="clear" w:color="auto" w:fill="auto"/>
            <w:vAlign w:val="center"/>
          </w:tcPr>
          <w:p w14:paraId="092059EE"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625</w:t>
            </w:r>
          </w:p>
        </w:tc>
        <w:tc>
          <w:tcPr>
            <w:tcW w:w="2404" w:type="dxa"/>
            <w:tcBorders>
              <w:top w:val="nil"/>
              <w:left w:val="nil"/>
              <w:bottom w:val="single" w:sz="4" w:space="0" w:color="auto"/>
              <w:right w:val="single" w:sz="4" w:space="0" w:color="auto"/>
            </w:tcBorders>
            <w:shd w:val="clear" w:color="auto" w:fill="auto"/>
            <w:vAlign w:val="center"/>
          </w:tcPr>
          <w:p w14:paraId="3926B68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2535</w:t>
            </w:r>
          </w:p>
        </w:tc>
        <w:tc>
          <w:tcPr>
            <w:tcW w:w="2415" w:type="dxa"/>
            <w:tcBorders>
              <w:top w:val="nil"/>
              <w:left w:val="nil"/>
              <w:bottom w:val="single" w:sz="4" w:space="0" w:color="auto"/>
              <w:right w:val="single" w:sz="4" w:space="0" w:color="auto"/>
            </w:tcBorders>
            <w:shd w:val="clear" w:color="auto" w:fill="auto"/>
            <w:vAlign w:val="center"/>
          </w:tcPr>
          <w:p w14:paraId="1D356CA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2735</w:t>
            </w:r>
          </w:p>
        </w:tc>
      </w:tr>
      <w:tr w:rsidR="000F0835" w:rsidRPr="000F0835" w14:paraId="2466EAE8"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09D9440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1.7</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6F13565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D280</w:t>
            </w:r>
          </w:p>
        </w:tc>
        <w:tc>
          <w:tcPr>
            <w:tcW w:w="1545" w:type="dxa"/>
            <w:tcBorders>
              <w:top w:val="nil"/>
              <w:left w:val="nil"/>
              <w:bottom w:val="single" w:sz="4" w:space="0" w:color="auto"/>
              <w:right w:val="single" w:sz="4" w:space="0" w:color="auto"/>
            </w:tcBorders>
            <w:shd w:val="clear" w:color="auto" w:fill="auto"/>
            <w:vAlign w:val="center"/>
            <w:hideMark/>
          </w:tcPr>
          <w:p w14:paraId="53E468B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530</w:t>
            </w:r>
          </w:p>
        </w:tc>
        <w:tc>
          <w:tcPr>
            <w:tcW w:w="1985" w:type="dxa"/>
            <w:tcBorders>
              <w:top w:val="nil"/>
              <w:left w:val="nil"/>
              <w:bottom w:val="single" w:sz="4" w:space="0" w:color="auto"/>
              <w:right w:val="single" w:sz="4" w:space="0" w:color="auto"/>
            </w:tcBorders>
            <w:shd w:val="clear" w:color="auto" w:fill="auto"/>
            <w:vAlign w:val="center"/>
          </w:tcPr>
          <w:p w14:paraId="7C91893E"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730</w:t>
            </w:r>
          </w:p>
        </w:tc>
        <w:tc>
          <w:tcPr>
            <w:tcW w:w="2404" w:type="dxa"/>
            <w:tcBorders>
              <w:top w:val="nil"/>
              <w:left w:val="nil"/>
              <w:bottom w:val="single" w:sz="4" w:space="0" w:color="auto"/>
              <w:right w:val="single" w:sz="4" w:space="0" w:color="auto"/>
            </w:tcBorders>
            <w:shd w:val="clear" w:color="auto" w:fill="auto"/>
            <w:vAlign w:val="center"/>
          </w:tcPr>
          <w:p w14:paraId="764B1724"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3190</w:t>
            </w:r>
          </w:p>
        </w:tc>
        <w:tc>
          <w:tcPr>
            <w:tcW w:w="2415" w:type="dxa"/>
            <w:tcBorders>
              <w:top w:val="nil"/>
              <w:left w:val="nil"/>
              <w:bottom w:val="single" w:sz="4" w:space="0" w:color="auto"/>
              <w:right w:val="single" w:sz="4" w:space="0" w:color="auto"/>
            </w:tcBorders>
            <w:shd w:val="clear" w:color="auto" w:fill="auto"/>
            <w:vAlign w:val="center"/>
          </w:tcPr>
          <w:p w14:paraId="39C3B79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3390</w:t>
            </w:r>
          </w:p>
        </w:tc>
      </w:tr>
      <w:tr w:rsidR="000F0835" w:rsidRPr="00CA2475" w14:paraId="7AEBFAE0" w14:textId="77777777" w:rsidTr="000F3E02">
        <w:trPr>
          <w:trHeight w:val="340"/>
        </w:trPr>
        <w:tc>
          <w:tcPr>
            <w:tcW w:w="329" w:type="dxa"/>
            <w:tcBorders>
              <w:top w:val="single" w:sz="4" w:space="0" w:color="auto"/>
              <w:left w:val="single" w:sz="4" w:space="0" w:color="auto"/>
              <w:bottom w:val="single" w:sz="4" w:space="0" w:color="auto"/>
              <w:right w:val="single" w:sz="4" w:space="0" w:color="auto"/>
            </w:tcBorders>
            <w:vAlign w:val="center"/>
          </w:tcPr>
          <w:p w14:paraId="1B4E91F6"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2.</w:t>
            </w:r>
          </w:p>
        </w:tc>
        <w:tc>
          <w:tcPr>
            <w:tcW w:w="95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424F61" w14:textId="77777777" w:rsidR="005C12EE" w:rsidRPr="000F0835" w:rsidRDefault="005C12EE" w:rsidP="00004A35">
            <w:pPr>
              <w:spacing w:after="0" w:line="240" w:lineRule="auto"/>
              <w:jc w:val="center"/>
              <w:rPr>
                <w:rFonts w:ascii="Arial" w:eastAsia="Times New Roman" w:hAnsi="Arial" w:cs="Arial"/>
                <w:b/>
                <w:bCs/>
                <w:lang w:val="az-Latn-AZ"/>
              </w:rPr>
            </w:pPr>
            <w:r w:rsidRPr="000F0835">
              <w:rPr>
                <w:rFonts w:ascii="Arial" w:eastAsia="Times New Roman" w:hAnsi="Arial" w:cs="Arial"/>
                <w:b/>
                <w:bCs/>
                <w:lang w:val="az-Latn-AZ"/>
              </w:rPr>
              <w:t>Tullantı sularının axıdılması şəbəkəsi üzrə</w:t>
            </w:r>
          </w:p>
        </w:tc>
      </w:tr>
      <w:tr w:rsidR="000F0835" w:rsidRPr="000F0835" w14:paraId="614A38F1"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4A045DE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2.1</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2492805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D200</w:t>
            </w:r>
          </w:p>
        </w:tc>
        <w:tc>
          <w:tcPr>
            <w:tcW w:w="1545" w:type="dxa"/>
            <w:tcBorders>
              <w:top w:val="nil"/>
              <w:left w:val="nil"/>
              <w:bottom w:val="single" w:sz="4" w:space="0" w:color="auto"/>
              <w:right w:val="single" w:sz="4" w:space="0" w:color="auto"/>
            </w:tcBorders>
            <w:shd w:val="clear" w:color="auto" w:fill="auto"/>
            <w:vAlign w:val="center"/>
            <w:hideMark/>
          </w:tcPr>
          <w:p w14:paraId="2352704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245</w:t>
            </w:r>
          </w:p>
        </w:tc>
        <w:tc>
          <w:tcPr>
            <w:tcW w:w="1985" w:type="dxa"/>
            <w:tcBorders>
              <w:top w:val="nil"/>
              <w:left w:val="nil"/>
              <w:bottom w:val="single" w:sz="4" w:space="0" w:color="auto"/>
              <w:right w:val="single" w:sz="4" w:space="0" w:color="auto"/>
            </w:tcBorders>
            <w:shd w:val="clear" w:color="auto" w:fill="auto"/>
            <w:vAlign w:val="center"/>
          </w:tcPr>
          <w:p w14:paraId="2CA967F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505</w:t>
            </w:r>
          </w:p>
        </w:tc>
        <w:tc>
          <w:tcPr>
            <w:tcW w:w="2404" w:type="dxa"/>
            <w:tcBorders>
              <w:top w:val="nil"/>
              <w:left w:val="nil"/>
              <w:bottom w:val="single" w:sz="4" w:space="0" w:color="auto"/>
              <w:right w:val="single" w:sz="4" w:space="0" w:color="auto"/>
            </w:tcBorders>
            <w:shd w:val="clear" w:color="auto" w:fill="auto"/>
            <w:vAlign w:val="center"/>
          </w:tcPr>
          <w:p w14:paraId="7A0686A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2440</w:t>
            </w:r>
          </w:p>
        </w:tc>
        <w:tc>
          <w:tcPr>
            <w:tcW w:w="2415" w:type="dxa"/>
            <w:tcBorders>
              <w:top w:val="nil"/>
              <w:left w:val="nil"/>
              <w:bottom w:val="single" w:sz="4" w:space="0" w:color="auto"/>
              <w:right w:val="single" w:sz="4" w:space="0" w:color="auto"/>
            </w:tcBorders>
            <w:shd w:val="clear" w:color="auto" w:fill="auto"/>
            <w:vAlign w:val="center"/>
          </w:tcPr>
          <w:p w14:paraId="6769CF7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2700</w:t>
            </w:r>
          </w:p>
        </w:tc>
      </w:tr>
      <w:tr w:rsidR="000F0835" w:rsidRPr="000F0835" w14:paraId="7C821E5E"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77774E6A"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2.2</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370822A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D300</w:t>
            </w:r>
          </w:p>
        </w:tc>
        <w:tc>
          <w:tcPr>
            <w:tcW w:w="1545" w:type="dxa"/>
            <w:tcBorders>
              <w:top w:val="nil"/>
              <w:left w:val="nil"/>
              <w:bottom w:val="single" w:sz="4" w:space="0" w:color="auto"/>
              <w:right w:val="single" w:sz="4" w:space="0" w:color="auto"/>
            </w:tcBorders>
            <w:shd w:val="clear" w:color="auto" w:fill="auto"/>
            <w:vAlign w:val="center"/>
            <w:hideMark/>
          </w:tcPr>
          <w:p w14:paraId="4E2755E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295</w:t>
            </w:r>
          </w:p>
        </w:tc>
        <w:tc>
          <w:tcPr>
            <w:tcW w:w="1985" w:type="dxa"/>
            <w:tcBorders>
              <w:top w:val="nil"/>
              <w:left w:val="nil"/>
              <w:bottom w:val="single" w:sz="4" w:space="0" w:color="auto"/>
              <w:right w:val="single" w:sz="4" w:space="0" w:color="auto"/>
            </w:tcBorders>
            <w:shd w:val="clear" w:color="auto" w:fill="auto"/>
            <w:vAlign w:val="center"/>
          </w:tcPr>
          <w:p w14:paraId="5616B5C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555</w:t>
            </w:r>
          </w:p>
        </w:tc>
        <w:tc>
          <w:tcPr>
            <w:tcW w:w="2404" w:type="dxa"/>
            <w:tcBorders>
              <w:top w:val="nil"/>
              <w:left w:val="nil"/>
              <w:bottom w:val="single" w:sz="4" w:space="0" w:color="auto"/>
              <w:right w:val="single" w:sz="4" w:space="0" w:color="auto"/>
            </w:tcBorders>
            <w:shd w:val="clear" w:color="auto" w:fill="auto"/>
            <w:vAlign w:val="center"/>
          </w:tcPr>
          <w:p w14:paraId="4048D56F"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2940</w:t>
            </w:r>
          </w:p>
        </w:tc>
        <w:tc>
          <w:tcPr>
            <w:tcW w:w="2415" w:type="dxa"/>
            <w:tcBorders>
              <w:top w:val="nil"/>
              <w:left w:val="nil"/>
              <w:bottom w:val="single" w:sz="4" w:space="0" w:color="auto"/>
              <w:right w:val="single" w:sz="4" w:space="0" w:color="auto"/>
            </w:tcBorders>
            <w:shd w:val="clear" w:color="auto" w:fill="auto"/>
            <w:vAlign w:val="center"/>
          </w:tcPr>
          <w:p w14:paraId="4530CF0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3200</w:t>
            </w:r>
          </w:p>
        </w:tc>
      </w:tr>
      <w:tr w:rsidR="000F0835" w:rsidRPr="000F0835" w14:paraId="2965A40D"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26D40784"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2.3</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2F312719"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D400</w:t>
            </w:r>
          </w:p>
        </w:tc>
        <w:tc>
          <w:tcPr>
            <w:tcW w:w="1545" w:type="dxa"/>
            <w:tcBorders>
              <w:top w:val="nil"/>
              <w:left w:val="nil"/>
              <w:bottom w:val="single" w:sz="4" w:space="0" w:color="auto"/>
              <w:right w:val="single" w:sz="4" w:space="0" w:color="auto"/>
            </w:tcBorders>
            <w:shd w:val="clear" w:color="auto" w:fill="auto"/>
            <w:vAlign w:val="center"/>
            <w:hideMark/>
          </w:tcPr>
          <w:p w14:paraId="0BB5C34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350</w:t>
            </w:r>
          </w:p>
        </w:tc>
        <w:tc>
          <w:tcPr>
            <w:tcW w:w="1985" w:type="dxa"/>
            <w:tcBorders>
              <w:top w:val="nil"/>
              <w:left w:val="nil"/>
              <w:bottom w:val="single" w:sz="4" w:space="0" w:color="auto"/>
              <w:right w:val="single" w:sz="4" w:space="0" w:color="auto"/>
            </w:tcBorders>
            <w:shd w:val="clear" w:color="auto" w:fill="auto"/>
            <w:vAlign w:val="center"/>
          </w:tcPr>
          <w:p w14:paraId="5710279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610</w:t>
            </w:r>
          </w:p>
        </w:tc>
        <w:tc>
          <w:tcPr>
            <w:tcW w:w="2404" w:type="dxa"/>
            <w:tcBorders>
              <w:top w:val="nil"/>
              <w:left w:val="nil"/>
              <w:bottom w:val="single" w:sz="4" w:space="0" w:color="auto"/>
              <w:right w:val="single" w:sz="4" w:space="0" w:color="auto"/>
            </w:tcBorders>
            <w:shd w:val="clear" w:color="auto" w:fill="auto"/>
            <w:vAlign w:val="center"/>
          </w:tcPr>
          <w:p w14:paraId="21CAE42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3505</w:t>
            </w:r>
          </w:p>
        </w:tc>
        <w:tc>
          <w:tcPr>
            <w:tcW w:w="2415" w:type="dxa"/>
            <w:tcBorders>
              <w:top w:val="nil"/>
              <w:left w:val="nil"/>
              <w:bottom w:val="single" w:sz="4" w:space="0" w:color="auto"/>
              <w:right w:val="single" w:sz="4" w:space="0" w:color="auto"/>
            </w:tcBorders>
            <w:shd w:val="clear" w:color="auto" w:fill="auto"/>
            <w:vAlign w:val="center"/>
          </w:tcPr>
          <w:p w14:paraId="7F9F9D62"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3765</w:t>
            </w:r>
          </w:p>
        </w:tc>
      </w:tr>
      <w:tr w:rsidR="000F0835" w:rsidRPr="000F0835" w14:paraId="46834CEA"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3B534C7B"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2.4</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05A9E8A6"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D500</w:t>
            </w:r>
          </w:p>
        </w:tc>
        <w:tc>
          <w:tcPr>
            <w:tcW w:w="1545" w:type="dxa"/>
            <w:tcBorders>
              <w:top w:val="nil"/>
              <w:left w:val="nil"/>
              <w:bottom w:val="single" w:sz="4" w:space="0" w:color="auto"/>
              <w:right w:val="single" w:sz="4" w:space="0" w:color="auto"/>
            </w:tcBorders>
            <w:shd w:val="clear" w:color="auto" w:fill="auto"/>
            <w:vAlign w:val="center"/>
            <w:hideMark/>
          </w:tcPr>
          <w:p w14:paraId="624ED33D"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525</w:t>
            </w:r>
          </w:p>
        </w:tc>
        <w:tc>
          <w:tcPr>
            <w:tcW w:w="1985" w:type="dxa"/>
            <w:tcBorders>
              <w:top w:val="nil"/>
              <w:left w:val="nil"/>
              <w:bottom w:val="single" w:sz="4" w:space="0" w:color="auto"/>
              <w:right w:val="single" w:sz="4" w:space="0" w:color="auto"/>
            </w:tcBorders>
            <w:shd w:val="clear" w:color="auto" w:fill="auto"/>
            <w:vAlign w:val="center"/>
          </w:tcPr>
          <w:p w14:paraId="050AA81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780</w:t>
            </w:r>
          </w:p>
        </w:tc>
        <w:tc>
          <w:tcPr>
            <w:tcW w:w="2404" w:type="dxa"/>
            <w:tcBorders>
              <w:top w:val="nil"/>
              <w:left w:val="nil"/>
              <w:bottom w:val="single" w:sz="4" w:space="0" w:color="auto"/>
              <w:right w:val="single" w:sz="4" w:space="0" w:color="auto"/>
            </w:tcBorders>
            <w:shd w:val="clear" w:color="auto" w:fill="auto"/>
            <w:vAlign w:val="center"/>
          </w:tcPr>
          <w:p w14:paraId="04DE9D60"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5220</w:t>
            </w:r>
          </w:p>
        </w:tc>
        <w:tc>
          <w:tcPr>
            <w:tcW w:w="2415" w:type="dxa"/>
            <w:tcBorders>
              <w:top w:val="nil"/>
              <w:left w:val="nil"/>
              <w:bottom w:val="single" w:sz="4" w:space="0" w:color="auto"/>
              <w:right w:val="single" w:sz="4" w:space="0" w:color="auto"/>
            </w:tcBorders>
            <w:shd w:val="clear" w:color="auto" w:fill="auto"/>
            <w:vAlign w:val="center"/>
          </w:tcPr>
          <w:p w14:paraId="6B480F64"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5480</w:t>
            </w:r>
          </w:p>
        </w:tc>
      </w:tr>
      <w:tr w:rsidR="000F0835" w:rsidRPr="000F0835" w14:paraId="42EDF93E" w14:textId="77777777" w:rsidTr="000F3E02">
        <w:trPr>
          <w:trHeight w:val="340"/>
        </w:trPr>
        <w:tc>
          <w:tcPr>
            <w:tcW w:w="329" w:type="dxa"/>
            <w:tcBorders>
              <w:top w:val="nil"/>
              <w:left w:val="single" w:sz="4" w:space="0" w:color="auto"/>
              <w:bottom w:val="single" w:sz="4" w:space="0" w:color="auto"/>
              <w:right w:val="single" w:sz="4" w:space="0" w:color="auto"/>
            </w:tcBorders>
            <w:vAlign w:val="center"/>
          </w:tcPr>
          <w:p w14:paraId="362A81E7"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2.5</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14:paraId="17C64D0B"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D600</w:t>
            </w:r>
          </w:p>
        </w:tc>
        <w:tc>
          <w:tcPr>
            <w:tcW w:w="1545" w:type="dxa"/>
            <w:tcBorders>
              <w:top w:val="nil"/>
              <w:left w:val="nil"/>
              <w:bottom w:val="single" w:sz="4" w:space="0" w:color="auto"/>
              <w:right w:val="single" w:sz="4" w:space="0" w:color="auto"/>
            </w:tcBorders>
            <w:shd w:val="clear" w:color="auto" w:fill="auto"/>
            <w:vAlign w:val="center"/>
            <w:hideMark/>
          </w:tcPr>
          <w:p w14:paraId="2D865578"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680</w:t>
            </w:r>
          </w:p>
        </w:tc>
        <w:tc>
          <w:tcPr>
            <w:tcW w:w="1985" w:type="dxa"/>
            <w:tcBorders>
              <w:top w:val="nil"/>
              <w:left w:val="nil"/>
              <w:bottom w:val="single" w:sz="4" w:space="0" w:color="auto"/>
              <w:right w:val="single" w:sz="4" w:space="0" w:color="auto"/>
            </w:tcBorders>
            <w:shd w:val="clear" w:color="auto" w:fill="auto"/>
            <w:vAlign w:val="center"/>
          </w:tcPr>
          <w:p w14:paraId="1589B875"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940</w:t>
            </w:r>
          </w:p>
        </w:tc>
        <w:tc>
          <w:tcPr>
            <w:tcW w:w="2404" w:type="dxa"/>
            <w:tcBorders>
              <w:top w:val="nil"/>
              <w:left w:val="nil"/>
              <w:bottom w:val="single" w:sz="4" w:space="0" w:color="auto"/>
              <w:right w:val="single" w:sz="4" w:space="0" w:color="auto"/>
            </w:tcBorders>
            <w:shd w:val="clear" w:color="auto" w:fill="auto"/>
            <w:vAlign w:val="center"/>
          </w:tcPr>
          <w:p w14:paraId="5F762E81"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6780</w:t>
            </w:r>
          </w:p>
        </w:tc>
        <w:tc>
          <w:tcPr>
            <w:tcW w:w="2415" w:type="dxa"/>
            <w:tcBorders>
              <w:top w:val="nil"/>
              <w:left w:val="nil"/>
              <w:bottom w:val="single" w:sz="4" w:space="0" w:color="auto"/>
              <w:right w:val="single" w:sz="4" w:space="0" w:color="auto"/>
            </w:tcBorders>
            <w:shd w:val="clear" w:color="auto" w:fill="auto"/>
            <w:vAlign w:val="center"/>
          </w:tcPr>
          <w:p w14:paraId="53E2E813" w14:textId="77777777" w:rsidR="005C12EE" w:rsidRPr="000F0835" w:rsidRDefault="005C12EE" w:rsidP="00004A35">
            <w:pPr>
              <w:spacing w:after="0" w:line="240" w:lineRule="auto"/>
              <w:jc w:val="center"/>
              <w:rPr>
                <w:rFonts w:ascii="Arial" w:eastAsia="Times New Roman" w:hAnsi="Arial" w:cs="Arial"/>
                <w:lang w:val="az-Latn-AZ"/>
              </w:rPr>
            </w:pPr>
            <w:r w:rsidRPr="000F0835">
              <w:rPr>
                <w:rFonts w:ascii="Arial" w:eastAsia="Times New Roman" w:hAnsi="Arial" w:cs="Arial"/>
                <w:lang w:val="az-Latn-AZ"/>
              </w:rPr>
              <w:t>7040</w:t>
            </w:r>
          </w:p>
        </w:tc>
      </w:tr>
    </w:tbl>
    <w:p w14:paraId="487D13E8" w14:textId="77777777" w:rsidR="002C1D4D" w:rsidRPr="000F0835" w:rsidRDefault="002C1D4D" w:rsidP="00004A35">
      <w:pPr>
        <w:widowControl w:val="0"/>
        <w:spacing w:after="60" w:line="276" w:lineRule="auto"/>
        <w:jc w:val="both"/>
        <w:rPr>
          <w:rFonts w:ascii="Arial" w:eastAsia="Times New Roman" w:hAnsi="Arial" w:cs="Arial"/>
          <w:b/>
          <w:bCs/>
          <w:sz w:val="24"/>
          <w:szCs w:val="24"/>
          <w:lang w:val="az-Latn-AZ"/>
        </w:rPr>
      </w:pPr>
    </w:p>
    <w:p w14:paraId="6852D52B" w14:textId="0DBA8B42" w:rsidR="00300790" w:rsidRPr="000F0835" w:rsidRDefault="00300790" w:rsidP="00004A35">
      <w:pPr>
        <w:widowControl w:val="0"/>
        <w:spacing w:after="60" w:line="276" w:lineRule="auto"/>
        <w:jc w:val="both"/>
        <w:rPr>
          <w:rFonts w:ascii="Arial" w:eastAsia="Times New Roman" w:hAnsi="Arial" w:cs="Arial"/>
          <w:sz w:val="24"/>
          <w:szCs w:val="24"/>
          <w:lang w:val="az-Latn-AZ"/>
        </w:rPr>
      </w:pPr>
      <w:r w:rsidRPr="000F0835">
        <w:rPr>
          <w:rFonts w:ascii="Arial" w:eastAsia="Times New Roman" w:hAnsi="Arial" w:cs="Arial"/>
          <w:b/>
          <w:bCs/>
          <w:sz w:val="24"/>
          <w:szCs w:val="24"/>
          <w:lang w:val="az-Latn-AZ"/>
        </w:rPr>
        <w:t>Qeyd:</w:t>
      </w:r>
      <w:r w:rsidR="0079267D" w:rsidRPr="000F0835">
        <w:rPr>
          <w:rFonts w:ascii="Arial" w:eastAsia="Times New Roman" w:hAnsi="Arial" w:cs="Arial"/>
          <w:sz w:val="24"/>
          <w:szCs w:val="24"/>
          <w:lang w:val="az-Latn-AZ"/>
        </w:rPr>
        <w:t xml:space="preserve"> </w:t>
      </w:r>
      <w:r w:rsidRPr="000F0835">
        <w:rPr>
          <w:rFonts w:ascii="Arial" w:eastAsia="Times New Roman" w:hAnsi="Arial" w:cs="Arial"/>
          <w:sz w:val="24"/>
          <w:szCs w:val="24"/>
          <w:lang w:val="az-Latn-AZ"/>
        </w:rPr>
        <w:t xml:space="preserve">Azərbaycan Respublikası Prezidentinin </w:t>
      </w:r>
      <w:r w:rsidR="000C13A8" w:rsidRPr="000F0835">
        <w:rPr>
          <w:rFonts w:ascii="Arial" w:eastAsia="Times New Roman" w:hAnsi="Arial" w:cs="Arial"/>
          <w:sz w:val="24"/>
          <w:szCs w:val="24"/>
          <w:lang w:val="az-Latn-AZ"/>
        </w:rPr>
        <w:t>26.12.</w:t>
      </w:r>
      <w:r w:rsidRPr="000F0835">
        <w:rPr>
          <w:rFonts w:ascii="Arial" w:eastAsia="Times New Roman" w:hAnsi="Arial" w:cs="Arial"/>
          <w:sz w:val="24"/>
          <w:szCs w:val="24"/>
          <w:lang w:val="az-Latn-AZ"/>
        </w:rPr>
        <w:t>2005-ci il tarixli Fərmanı ilə Tarif (qiymət) Şurası dövlət tənzimlənməsi tətbiq edilən qiymətlərin (tariflərin) və xidmət haqlarının tənzimlənməsini həyata keçirən kollegial orqandır. Azərbaycan Respublikasının iqtisadiyyat naziri Tarif (qiymət) Şurasının sədri, maliyyə nazirinin müavini, ədliyyə nazirinin müavini, energetika nazirinin müavini, rəqəmsal inkişaf və nəqliyyat nazirinin müavini, kənd təsərrüfatı nazirinin müavini, səhiyyə nazirinin müavini, elm və təhsil nazirinin müavini, əmək və əhalinin sosial müdafiəsi nazirinin müavini, Dövlət Gömrük Komitəsi sədrinin müavini, Dövlət Şəhərsalma və Arxitektura Komitəsi sədrinin müavini, Dövlət Statistika Komitəsi sədrinin müavini, İcbari Tibbi Sığorta üzrə Dövlət Agentliyi İdarə Heyə</w:t>
      </w:r>
      <w:r w:rsidR="0079267D" w:rsidRPr="000F0835">
        <w:rPr>
          <w:rFonts w:ascii="Arial" w:eastAsia="Times New Roman" w:hAnsi="Arial" w:cs="Arial"/>
          <w:sz w:val="24"/>
          <w:szCs w:val="24"/>
          <w:lang w:val="az-Latn-AZ"/>
        </w:rPr>
        <w:t>tinin sədri Şuranın üzvləridir.</w:t>
      </w:r>
    </w:p>
    <w:p w14:paraId="4CC8CE2D" w14:textId="27E5E318" w:rsidR="00300790" w:rsidRPr="000F0835" w:rsidRDefault="00300790" w:rsidP="00004A35">
      <w:pPr>
        <w:widowControl w:val="0"/>
        <w:spacing w:after="60" w:line="276" w:lineRule="auto"/>
        <w:ind w:firstLine="567"/>
        <w:jc w:val="both"/>
        <w:rPr>
          <w:rFonts w:ascii="Arial" w:eastAsia="Times New Roman" w:hAnsi="Arial" w:cs="Arial"/>
          <w:sz w:val="24"/>
          <w:szCs w:val="24"/>
          <w:lang w:val="az-Latn-AZ"/>
        </w:rPr>
      </w:pPr>
    </w:p>
    <w:p w14:paraId="4E9A8258" w14:textId="77777777" w:rsidR="00300790" w:rsidRPr="000F0835" w:rsidRDefault="00300790" w:rsidP="00004A35">
      <w:pPr>
        <w:widowControl w:val="0"/>
        <w:spacing w:after="60" w:line="276" w:lineRule="auto"/>
        <w:ind w:firstLine="567"/>
        <w:jc w:val="right"/>
        <w:rPr>
          <w:rFonts w:ascii="Arial" w:eastAsia="Times New Roman" w:hAnsi="Arial" w:cs="Arial"/>
          <w:sz w:val="24"/>
          <w:szCs w:val="24"/>
          <w:lang w:val="az-Latn-AZ"/>
        </w:rPr>
      </w:pPr>
      <w:r w:rsidRPr="000F0835">
        <w:rPr>
          <w:rFonts w:ascii="Arial" w:eastAsia="Times New Roman" w:hAnsi="Arial" w:cs="Arial"/>
          <w:b/>
          <w:bCs/>
          <w:sz w:val="24"/>
          <w:szCs w:val="24"/>
          <w:lang w:val="az-Latn-AZ"/>
        </w:rPr>
        <w:t>Azərbaycan Respublikasının</w:t>
      </w:r>
    </w:p>
    <w:p w14:paraId="58D8D983" w14:textId="1A8F3477" w:rsidR="00565DDA" w:rsidRPr="000F0835" w:rsidRDefault="00300790" w:rsidP="00004A35">
      <w:pPr>
        <w:widowControl w:val="0"/>
        <w:spacing w:after="60" w:line="276" w:lineRule="auto"/>
        <w:ind w:firstLine="567"/>
        <w:jc w:val="right"/>
        <w:rPr>
          <w:rFonts w:ascii="Arial" w:eastAsia="Times New Roman" w:hAnsi="Arial" w:cs="Arial"/>
          <w:sz w:val="24"/>
          <w:szCs w:val="24"/>
          <w:lang w:val="az-Latn-AZ"/>
        </w:rPr>
      </w:pPr>
      <w:r w:rsidRPr="000F0835">
        <w:rPr>
          <w:rFonts w:ascii="Arial" w:eastAsia="Times New Roman" w:hAnsi="Arial" w:cs="Arial"/>
          <w:b/>
          <w:bCs/>
          <w:sz w:val="24"/>
          <w:szCs w:val="24"/>
          <w:lang w:val="az-Latn-AZ"/>
        </w:rPr>
        <w:t>Tarif (qiymət) Şurasının Katibliyi</w:t>
      </w:r>
    </w:p>
    <w:sectPr w:rsidR="00565DDA" w:rsidRPr="000F0835" w:rsidSect="00E5592F">
      <w:pgSz w:w="11906" w:h="16838" w:code="9"/>
      <w:pgMar w:top="709"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A81"/>
    <w:multiLevelType w:val="hybridMultilevel"/>
    <w:tmpl w:val="3E0CE2B4"/>
    <w:lvl w:ilvl="0" w:tplc="04090001">
      <w:start w:val="1"/>
      <w:numFmt w:val="bullet"/>
      <w:lvlText w:val=""/>
      <w:lvlJc w:val="left"/>
      <w:pPr>
        <w:tabs>
          <w:tab w:val="num" w:pos="720"/>
        </w:tabs>
        <w:ind w:left="720" w:hanging="360"/>
      </w:pPr>
      <w:rPr>
        <w:rFonts w:ascii="Symbol" w:hAnsi="Symbol" w:hint="default"/>
      </w:rPr>
    </w:lvl>
    <w:lvl w:ilvl="1" w:tplc="52363884" w:tentative="1">
      <w:start w:val="1"/>
      <w:numFmt w:val="decimal"/>
      <w:lvlText w:val="%2."/>
      <w:lvlJc w:val="left"/>
      <w:pPr>
        <w:tabs>
          <w:tab w:val="num" w:pos="1440"/>
        </w:tabs>
        <w:ind w:left="1440" w:hanging="360"/>
      </w:pPr>
    </w:lvl>
    <w:lvl w:ilvl="2" w:tplc="88907568" w:tentative="1">
      <w:start w:val="1"/>
      <w:numFmt w:val="decimal"/>
      <w:lvlText w:val="%3."/>
      <w:lvlJc w:val="left"/>
      <w:pPr>
        <w:tabs>
          <w:tab w:val="num" w:pos="2160"/>
        </w:tabs>
        <w:ind w:left="2160" w:hanging="360"/>
      </w:pPr>
    </w:lvl>
    <w:lvl w:ilvl="3" w:tplc="89F4C1C2" w:tentative="1">
      <w:start w:val="1"/>
      <w:numFmt w:val="decimal"/>
      <w:lvlText w:val="%4."/>
      <w:lvlJc w:val="left"/>
      <w:pPr>
        <w:tabs>
          <w:tab w:val="num" w:pos="2880"/>
        </w:tabs>
        <w:ind w:left="2880" w:hanging="360"/>
      </w:pPr>
    </w:lvl>
    <w:lvl w:ilvl="4" w:tplc="C8B69576" w:tentative="1">
      <w:start w:val="1"/>
      <w:numFmt w:val="decimal"/>
      <w:lvlText w:val="%5."/>
      <w:lvlJc w:val="left"/>
      <w:pPr>
        <w:tabs>
          <w:tab w:val="num" w:pos="3600"/>
        </w:tabs>
        <w:ind w:left="3600" w:hanging="360"/>
      </w:pPr>
    </w:lvl>
    <w:lvl w:ilvl="5" w:tplc="38AA31B0" w:tentative="1">
      <w:start w:val="1"/>
      <w:numFmt w:val="decimal"/>
      <w:lvlText w:val="%6."/>
      <w:lvlJc w:val="left"/>
      <w:pPr>
        <w:tabs>
          <w:tab w:val="num" w:pos="4320"/>
        </w:tabs>
        <w:ind w:left="4320" w:hanging="360"/>
      </w:pPr>
    </w:lvl>
    <w:lvl w:ilvl="6" w:tplc="BE30F098" w:tentative="1">
      <w:start w:val="1"/>
      <w:numFmt w:val="decimal"/>
      <w:lvlText w:val="%7."/>
      <w:lvlJc w:val="left"/>
      <w:pPr>
        <w:tabs>
          <w:tab w:val="num" w:pos="5040"/>
        </w:tabs>
        <w:ind w:left="5040" w:hanging="360"/>
      </w:pPr>
    </w:lvl>
    <w:lvl w:ilvl="7" w:tplc="B1D48FE2" w:tentative="1">
      <w:start w:val="1"/>
      <w:numFmt w:val="decimal"/>
      <w:lvlText w:val="%8."/>
      <w:lvlJc w:val="left"/>
      <w:pPr>
        <w:tabs>
          <w:tab w:val="num" w:pos="5760"/>
        </w:tabs>
        <w:ind w:left="5760" w:hanging="360"/>
      </w:pPr>
    </w:lvl>
    <w:lvl w:ilvl="8" w:tplc="7200D722" w:tentative="1">
      <w:start w:val="1"/>
      <w:numFmt w:val="decimal"/>
      <w:lvlText w:val="%9."/>
      <w:lvlJc w:val="left"/>
      <w:pPr>
        <w:tabs>
          <w:tab w:val="num" w:pos="6480"/>
        </w:tabs>
        <w:ind w:left="6480" w:hanging="360"/>
      </w:pPr>
    </w:lvl>
  </w:abstractNum>
  <w:abstractNum w:abstractNumId="1" w15:restartNumberingAfterBreak="0">
    <w:nsid w:val="27A059BF"/>
    <w:multiLevelType w:val="hybridMultilevel"/>
    <w:tmpl w:val="92B23ACA"/>
    <w:lvl w:ilvl="0" w:tplc="7BF49E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C787E"/>
    <w:multiLevelType w:val="hybridMultilevel"/>
    <w:tmpl w:val="F8C4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F571A"/>
    <w:multiLevelType w:val="hybridMultilevel"/>
    <w:tmpl w:val="991E801A"/>
    <w:lvl w:ilvl="0" w:tplc="5C8828F4">
      <w:start w:val="1"/>
      <w:numFmt w:val="decimal"/>
      <w:lvlText w:val="%1."/>
      <w:lvlJc w:val="left"/>
      <w:pPr>
        <w:ind w:left="2160" w:hanging="360"/>
      </w:pPr>
      <w:rPr>
        <w:rFonts w:hint="default"/>
      </w:rPr>
    </w:lvl>
    <w:lvl w:ilvl="1" w:tplc="04090019" w:tentative="1">
      <w:start w:val="1"/>
      <w:numFmt w:val="lowerLetter"/>
      <w:lvlText w:val="%2."/>
      <w:lvlJc w:val="left"/>
      <w:pPr>
        <w:ind w:left="2532" w:hanging="360"/>
      </w:pPr>
    </w:lvl>
    <w:lvl w:ilvl="2" w:tplc="0409001B">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4" w15:restartNumberingAfterBreak="0">
    <w:nsid w:val="3794680A"/>
    <w:multiLevelType w:val="hybridMultilevel"/>
    <w:tmpl w:val="471423DA"/>
    <w:lvl w:ilvl="0" w:tplc="90FC7A24">
      <w:start w:val="200"/>
      <w:numFmt w:val="bullet"/>
      <w:lvlText w:val="-"/>
      <w:lvlJc w:val="left"/>
      <w:pPr>
        <w:ind w:left="720" w:hanging="360"/>
      </w:pPr>
      <w:rPr>
        <w:rFonts w:ascii="Arial" w:eastAsia="Calibr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436D7909"/>
    <w:multiLevelType w:val="hybridMultilevel"/>
    <w:tmpl w:val="4378C748"/>
    <w:lvl w:ilvl="0" w:tplc="7BF49EDE">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C1430"/>
    <w:multiLevelType w:val="hybridMultilevel"/>
    <w:tmpl w:val="E024772C"/>
    <w:lvl w:ilvl="0" w:tplc="47B667AE">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BF45CDB"/>
    <w:multiLevelType w:val="hybridMultilevel"/>
    <w:tmpl w:val="FA6A7D3A"/>
    <w:lvl w:ilvl="0" w:tplc="7D64EF2E">
      <w:start w:val="1"/>
      <w:numFmt w:val="bullet"/>
      <w:lvlText w:val="-"/>
      <w:lvlJc w:val="left"/>
      <w:pPr>
        <w:tabs>
          <w:tab w:val="num" w:pos="720"/>
        </w:tabs>
        <w:ind w:left="720" w:hanging="360"/>
      </w:pPr>
      <w:rPr>
        <w:rFonts w:ascii="Times New Roman" w:hAnsi="Times New Roman" w:hint="default"/>
      </w:rPr>
    </w:lvl>
    <w:lvl w:ilvl="1" w:tplc="5A96A56A" w:tentative="1">
      <w:start w:val="1"/>
      <w:numFmt w:val="bullet"/>
      <w:lvlText w:val="-"/>
      <w:lvlJc w:val="left"/>
      <w:pPr>
        <w:tabs>
          <w:tab w:val="num" w:pos="1440"/>
        </w:tabs>
        <w:ind w:left="1440" w:hanging="360"/>
      </w:pPr>
      <w:rPr>
        <w:rFonts w:ascii="Times New Roman" w:hAnsi="Times New Roman" w:hint="default"/>
      </w:rPr>
    </w:lvl>
    <w:lvl w:ilvl="2" w:tplc="8298A6CE" w:tentative="1">
      <w:start w:val="1"/>
      <w:numFmt w:val="bullet"/>
      <w:lvlText w:val="-"/>
      <w:lvlJc w:val="left"/>
      <w:pPr>
        <w:tabs>
          <w:tab w:val="num" w:pos="2160"/>
        </w:tabs>
        <w:ind w:left="2160" w:hanging="360"/>
      </w:pPr>
      <w:rPr>
        <w:rFonts w:ascii="Times New Roman" w:hAnsi="Times New Roman" w:hint="default"/>
      </w:rPr>
    </w:lvl>
    <w:lvl w:ilvl="3" w:tplc="AD144746" w:tentative="1">
      <w:start w:val="1"/>
      <w:numFmt w:val="bullet"/>
      <w:lvlText w:val="-"/>
      <w:lvlJc w:val="left"/>
      <w:pPr>
        <w:tabs>
          <w:tab w:val="num" w:pos="2880"/>
        </w:tabs>
        <w:ind w:left="2880" w:hanging="360"/>
      </w:pPr>
      <w:rPr>
        <w:rFonts w:ascii="Times New Roman" w:hAnsi="Times New Roman" w:hint="default"/>
      </w:rPr>
    </w:lvl>
    <w:lvl w:ilvl="4" w:tplc="CC2C4766" w:tentative="1">
      <w:start w:val="1"/>
      <w:numFmt w:val="bullet"/>
      <w:lvlText w:val="-"/>
      <w:lvlJc w:val="left"/>
      <w:pPr>
        <w:tabs>
          <w:tab w:val="num" w:pos="3600"/>
        </w:tabs>
        <w:ind w:left="3600" w:hanging="360"/>
      </w:pPr>
      <w:rPr>
        <w:rFonts w:ascii="Times New Roman" w:hAnsi="Times New Roman" w:hint="default"/>
      </w:rPr>
    </w:lvl>
    <w:lvl w:ilvl="5" w:tplc="7FA455E6" w:tentative="1">
      <w:start w:val="1"/>
      <w:numFmt w:val="bullet"/>
      <w:lvlText w:val="-"/>
      <w:lvlJc w:val="left"/>
      <w:pPr>
        <w:tabs>
          <w:tab w:val="num" w:pos="4320"/>
        </w:tabs>
        <w:ind w:left="4320" w:hanging="360"/>
      </w:pPr>
      <w:rPr>
        <w:rFonts w:ascii="Times New Roman" w:hAnsi="Times New Roman" w:hint="default"/>
      </w:rPr>
    </w:lvl>
    <w:lvl w:ilvl="6" w:tplc="D8107450" w:tentative="1">
      <w:start w:val="1"/>
      <w:numFmt w:val="bullet"/>
      <w:lvlText w:val="-"/>
      <w:lvlJc w:val="left"/>
      <w:pPr>
        <w:tabs>
          <w:tab w:val="num" w:pos="5040"/>
        </w:tabs>
        <w:ind w:left="5040" w:hanging="360"/>
      </w:pPr>
      <w:rPr>
        <w:rFonts w:ascii="Times New Roman" w:hAnsi="Times New Roman" w:hint="default"/>
      </w:rPr>
    </w:lvl>
    <w:lvl w:ilvl="7" w:tplc="86840B50" w:tentative="1">
      <w:start w:val="1"/>
      <w:numFmt w:val="bullet"/>
      <w:lvlText w:val="-"/>
      <w:lvlJc w:val="left"/>
      <w:pPr>
        <w:tabs>
          <w:tab w:val="num" w:pos="5760"/>
        </w:tabs>
        <w:ind w:left="5760" w:hanging="360"/>
      </w:pPr>
      <w:rPr>
        <w:rFonts w:ascii="Times New Roman" w:hAnsi="Times New Roman" w:hint="default"/>
      </w:rPr>
    </w:lvl>
    <w:lvl w:ilvl="8" w:tplc="55A28E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E64E63"/>
    <w:multiLevelType w:val="hybridMultilevel"/>
    <w:tmpl w:val="D068B724"/>
    <w:lvl w:ilvl="0" w:tplc="7BF49E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603A2"/>
    <w:multiLevelType w:val="hybridMultilevel"/>
    <w:tmpl w:val="4A1445B6"/>
    <w:lvl w:ilvl="0" w:tplc="7BF49E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244D9"/>
    <w:multiLevelType w:val="hybridMultilevel"/>
    <w:tmpl w:val="E3D643D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E715F"/>
    <w:multiLevelType w:val="hybridMultilevel"/>
    <w:tmpl w:val="1CFC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10"/>
  </w:num>
  <w:num w:numId="6">
    <w:abstractNumId w:val="11"/>
  </w:num>
  <w:num w:numId="7">
    <w:abstractNumId w:val="2"/>
  </w:num>
  <w:num w:numId="8">
    <w:abstractNumId w:val="3"/>
  </w:num>
  <w:num w:numId="9">
    <w:abstractNumId w:val="0"/>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5E"/>
    <w:rsid w:val="00000088"/>
    <w:rsid w:val="00002D64"/>
    <w:rsid w:val="00004A35"/>
    <w:rsid w:val="00006451"/>
    <w:rsid w:val="00010311"/>
    <w:rsid w:val="000211F3"/>
    <w:rsid w:val="0003448E"/>
    <w:rsid w:val="0003471F"/>
    <w:rsid w:val="00036A30"/>
    <w:rsid w:val="0004053F"/>
    <w:rsid w:val="00053A8F"/>
    <w:rsid w:val="0005510E"/>
    <w:rsid w:val="00056FD8"/>
    <w:rsid w:val="000701BB"/>
    <w:rsid w:val="00072F63"/>
    <w:rsid w:val="00073846"/>
    <w:rsid w:val="0008522C"/>
    <w:rsid w:val="0008624B"/>
    <w:rsid w:val="00090D40"/>
    <w:rsid w:val="00092A1D"/>
    <w:rsid w:val="00096757"/>
    <w:rsid w:val="000B03DF"/>
    <w:rsid w:val="000C13A8"/>
    <w:rsid w:val="000D69FD"/>
    <w:rsid w:val="000F0835"/>
    <w:rsid w:val="00101C69"/>
    <w:rsid w:val="00104C07"/>
    <w:rsid w:val="001073C1"/>
    <w:rsid w:val="00111D8D"/>
    <w:rsid w:val="0011427F"/>
    <w:rsid w:val="00115F95"/>
    <w:rsid w:val="001323D0"/>
    <w:rsid w:val="00143AC1"/>
    <w:rsid w:val="001549BC"/>
    <w:rsid w:val="00160E76"/>
    <w:rsid w:val="0016752A"/>
    <w:rsid w:val="00172D20"/>
    <w:rsid w:val="001A0959"/>
    <w:rsid w:val="001A2A27"/>
    <w:rsid w:val="001A6DE6"/>
    <w:rsid w:val="001A7916"/>
    <w:rsid w:val="001B08A0"/>
    <w:rsid w:val="001B319E"/>
    <w:rsid w:val="001C1573"/>
    <w:rsid w:val="001E2D78"/>
    <w:rsid w:val="001F04DA"/>
    <w:rsid w:val="001F1007"/>
    <w:rsid w:val="001F34C3"/>
    <w:rsid w:val="00210E5E"/>
    <w:rsid w:val="0021526B"/>
    <w:rsid w:val="00223958"/>
    <w:rsid w:val="0023468F"/>
    <w:rsid w:val="00235E16"/>
    <w:rsid w:val="002378E7"/>
    <w:rsid w:val="00247B05"/>
    <w:rsid w:val="00247F53"/>
    <w:rsid w:val="00252126"/>
    <w:rsid w:val="00285F4D"/>
    <w:rsid w:val="00292D81"/>
    <w:rsid w:val="002968EF"/>
    <w:rsid w:val="002A3005"/>
    <w:rsid w:val="002A62E6"/>
    <w:rsid w:val="002A6F0E"/>
    <w:rsid w:val="002C1D4D"/>
    <w:rsid w:val="002C7123"/>
    <w:rsid w:val="002D3B03"/>
    <w:rsid w:val="002E01C5"/>
    <w:rsid w:val="002F4EF0"/>
    <w:rsid w:val="00300613"/>
    <w:rsid w:val="00300790"/>
    <w:rsid w:val="0030506E"/>
    <w:rsid w:val="0030638E"/>
    <w:rsid w:val="0030733E"/>
    <w:rsid w:val="003074B0"/>
    <w:rsid w:val="003118F7"/>
    <w:rsid w:val="0031526E"/>
    <w:rsid w:val="003321C4"/>
    <w:rsid w:val="00333083"/>
    <w:rsid w:val="00333DA0"/>
    <w:rsid w:val="00347532"/>
    <w:rsid w:val="00350D38"/>
    <w:rsid w:val="00354C4A"/>
    <w:rsid w:val="00357628"/>
    <w:rsid w:val="00364871"/>
    <w:rsid w:val="0036634E"/>
    <w:rsid w:val="003957A1"/>
    <w:rsid w:val="003A6FF0"/>
    <w:rsid w:val="003B7BAA"/>
    <w:rsid w:val="003C46F7"/>
    <w:rsid w:val="003C5AFB"/>
    <w:rsid w:val="003E54B1"/>
    <w:rsid w:val="003E76D8"/>
    <w:rsid w:val="003F161A"/>
    <w:rsid w:val="003F6AA5"/>
    <w:rsid w:val="00400A08"/>
    <w:rsid w:val="00401996"/>
    <w:rsid w:val="00406460"/>
    <w:rsid w:val="004154D3"/>
    <w:rsid w:val="004168CC"/>
    <w:rsid w:val="004200D6"/>
    <w:rsid w:val="00423829"/>
    <w:rsid w:val="004329E6"/>
    <w:rsid w:val="00436AC7"/>
    <w:rsid w:val="004403D4"/>
    <w:rsid w:val="00440655"/>
    <w:rsid w:val="00441502"/>
    <w:rsid w:val="00454674"/>
    <w:rsid w:val="00460BB7"/>
    <w:rsid w:val="00467D7F"/>
    <w:rsid w:val="00472375"/>
    <w:rsid w:val="004840EA"/>
    <w:rsid w:val="00486763"/>
    <w:rsid w:val="00497399"/>
    <w:rsid w:val="004A19B6"/>
    <w:rsid w:val="004B75F6"/>
    <w:rsid w:val="004D5942"/>
    <w:rsid w:val="004E0B81"/>
    <w:rsid w:val="004E61D4"/>
    <w:rsid w:val="004F1C93"/>
    <w:rsid w:val="00503866"/>
    <w:rsid w:val="00506940"/>
    <w:rsid w:val="00520121"/>
    <w:rsid w:val="0052396B"/>
    <w:rsid w:val="00530266"/>
    <w:rsid w:val="00532926"/>
    <w:rsid w:val="00534F01"/>
    <w:rsid w:val="00537D6C"/>
    <w:rsid w:val="0055794F"/>
    <w:rsid w:val="005654ED"/>
    <w:rsid w:val="00565DDA"/>
    <w:rsid w:val="00566110"/>
    <w:rsid w:val="005721DE"/>
    <w:rsid w:val="005756E2"/>
    <w:rsid w:val="00583ECB"/>
    <w:rsid w:val="00586BFE"/>
    <w:rsid w:val="0058777C"/>
    <w:rsid w:val="0059248A"/>
    <w:rsid w:val="00593709"/>
    <w:rsid w:val="00594E3E"/>
    <w:rsid w:val="005957DB"/>
    <w:rsid w:val="005A19FC"/>
    <w:rsid w:val="005A1E3D"/>
    <w:rsid w:val="005B159E"/>
    <w:rsid w:val="005B3F00"/>
    <w:rsid w:val="005B41B5"/>
    <w:rsid w:val="005C12EE"/>
    <w:rsid w:val="005C3EEF"/>
    <w:rsid w:val="005C744C"/>
    <w:rsid w:val="005D4701"/>
    <w:rsid w:val="005E06F9"/>
    <w:rsid w:val="005E0A33"/>
    <w:rsid w:val="005F24FF"/>
    <w:rsid w:val="005F7CA6"/>
    <w:rsid w:val="00601B52"/>
    <w:rsid w:val="00607FDF"/>
    <w:rsid w:val="00613309"/>
    <w:rsid w:val="00622238"/>
    <w:rsid w:val="006373C4"/>
    <w:rsid w:val="00642EB1"/>
    <w:rsid w:val="00654628"/>
    <w:rsid w:val="00660556"/>
    <w:rsid w:val="00663A6F"/>
    <w:rsid w:val="00674E2D"/>
    <w:rsid w:val="00676014"/>
    <w:rsid w:val="006801DE"/>
    <w:rsid w:val="0068756B"/>
    <w:rsid w:val="006879AE"/>
    <w:rsid w:val="006A225A"/>
    <w:rsid w:val="006B6E44"/>
    <w:rsid w:val="006D14E1"/>
    <w:rsid w:val="006D2153"/>
    <w:rsid w:val="006F6E3C"/>
    <w:rsid w:val="006F7423"/>
    <w:rsid w:val="007001B9"/>
    <w:rsid w:val="0070409A"/>
    <w:rsid w:val="00707A6D"/>
    <w:rsid w:val="00715212"/>
    <w:rsid w:val="00727333"/>
    <w:rsid w:val="00733F54"/>
    <w:rsid w:val="00741589"/>
    <w:rsid w:val="007442B1"/>
    <w:rsid w:val="00750590"/>
    <w:rsid w:val="007602BD"/>
    <w:rsid w:val="00767B41"/>
    <w:rsid w:val="0077667A"/>
    <w:rsid w:val="0079267D"/>
    <w:rsid w:val="007A63E6"/>
    <w:rsid w:val="007A7EFC"/>
    <w:rsid w:val="007B5689"/>
    <w:rsid w:val="007C5B13"/>
    <w:rsid w:val="007D2A65"/>
    <w:rsid w:val="007E00C3"/>
    <w:rsid w:val="007E5F17"/>
    <w:rsid w:val="007E7469"/>
    <w:rsid w:val="007E7D94"/>
    <w:rsid w:val="00804AE7"/>
    <w:rsid w:val="00807797"/>
    <w:rsid w:val="00811C43"/>
    <w:rsid w:val="00813D78"/>
    <w:rsid w:val="00815370"/>
    <w:rsid w:val="00815CF7"/>
    <w:rsid w:val="00831539"/>
    <w:rsid w:val="00834C9F"/>
    <w:rsid w:val="00841525"/>
    <w:rsid w:val="008434EB"/>
    <w:rsid w:val="00847ACA"/>
    <w:rsid w:val="008500B4"/>
    <w:rsid w:val="00851822"/>
    <w:rsid w:val="0085198B"/>
    <w:rsid w:val="00853F04"/>
    <w:rsid w:val="00854D9F"/>
    <w:rsid w:val="00854EA6"/>
    <w:rsid w:val="00860ECD"/>
    <w:rsid w:val="00871C86"/>
    <w:rsid w:val="00872E93"/>
    <w:rsid w:val="008764FF"/>
    <w:rsid w:val="0087655F"/>
    <w:rsid w:val="00880FDB"/>
    <w:rsid w:val="00882022"/>
    <w:rsid w:val="00883F34"/>
    <w:rsid w:val="00887F1F"/>
    <w:rsid w:val="00891C2C"/>
    <w:rsid w:val="008920E7"/>
    <w:rsid w:val="00893253"/>
    <w:rsid w:val="008A7B7E"/>
    <w:rsid w:val="008B1A5F"/>
    <w:rsid w:val="008B3751"/>
    <w:rsid w:val="008E1DA5"/>
    <w:rsid w:val="008E2BBE"/>
    <w:rsid w:val="008E3A6B"/>
    <w:rsid w:val="008E51DA"/>
    <w:rsid w:val="008F305F"/>
    <w:rsid w:val="008F4157"/>
    <w:rsid w:val="008F5156"/>
    <w:rsid w:val="0090328F"/>
    <w:rsid w:val="00922EE2"/>
    <w:rsid w:val="00923BF4"/>
    <w:rsid w:val="00926C0E"/>
    <w:rsid w:val="00930B78"/>
    <w:rsid w:val="00932942"/>
    <w:rsid w:val="009348DF"/>
    <w:rsid w:val="00943ADF"/>
    <w:rsid w:val="009721AA"/>
    <w:rsid w:val="00972743"/>
    <w:rsid w:val="009844CE"/>
    <w:rsid w:val="00994031"/>
    <w:rsid w:val="009A3794"/>
    <w:rsid w:val="009A4FF7"/>
    <w:rsid w:val="009A523C"/>
    <w:rsid w:val="009A7F52"/>
    <w:rsid w:val="009B1F38"/>
    <w:rsid w:val="009B2954"/>
    <w:rsid w:val="009B4D1D"/>
    <w:rsid w:val="009B5CA3"/>
    <w:rsid w:val="009B68F5"/>
    <w:rsid w:val="009C3C36"/>
    <w:rsid w:val="009D7942"/>
    <w:rsid w:val="009E20B0"/>
    <w:rsid w:val="009E7481"/>
    <w:rsid w:val="009F02E8"/>
    <w:rsid w:val="009F316C"/>
    <w:rsid w:val="009F42CB"/>
    <w:rsid w:val="009F4378"/>
    <w:rsid w:val="00A015FB"/>
    <w:rsid w:val="00A145B0"/>
    <w:rsid w:val="00A3241D"/>
    <w:rsid w:val="00A3318B"/>
    <w:rsid w:val="00A445B4"/>
    <w:rsid w:val="00A465B2"/>
    <w:rsid w:val="00A46940"/>
    <w:rsid w:val="00A46C96"/>
    <w:rsid w:val="00A513F1"/>
    <w:rsid w:val="00A52871"/>
    <w:rsid w:val="00A62777"/>
    <w:rsid w:val="00A6334C"/>
    <w:rsid w:val="00A726E6"/>
    <w:rsid w:val="00A72A19"/>
    <w:rsid w:val="00A77992"/>
    <w:rsid w:val="00A81276"/>
    <w:rsid w:val="00A827E6"/>
    <w:rsid w:val="00A86271"/>
    <w:rsid w:val="00A93309"/>
    <w:rsid w:val="00AC1980"/>
    <w:rsid w:val="00AC376C"/>
    <w:rsid w:val="00AD0095"/>
    <w:rsid w:val="00AD6FE3"/>
    <w:rsid w:val="00AE15C6"/>
    <w:rsid w:val="00AE1661"/>
    <w:rsid w:val="00AE564B"/>
    <w:rsid w:val="00AF62AC"/>
    <w:rsid w:val="00B06F26"/>
    <w:rsid w:val="00B16896"/>
    <w:rsid w:val="00B20722"/>
    <w:rsid w:val="00B249A9"/>
    <w:rsid w:val="00B41E2D"/>
    <w:rsid w:val="00B428F3"/>
    <w:rsid w:val="00B46379"/>
    <w:rsid w:val="00B502CB"/>
    <w:rsid w:val="00B6470B"/>
    <w:rsid w:val="00B64EF9"/>
    <w:rsid w:val="00B7318F"/>
    <w:rsid w:val="00B749C1"/>
    <w:rsid w:val="00B85C4A"/>
    <w:rsid w:val="00B91729"/>
    <w:rsid w:val="00BC6EC8"/>
    <w:rsid w:val="00BE73E7"/>
    <w:rsid w:val="00BE7624"/>
    <w:rsid w:val="00BF0C33"/>
    <w:rsid w:val="00BF48CC"/>
    <w:rsid w:val="00BF66E7"/>
    <w:rsid w:val="00BF67B7"/>
    <w:rsid w:val="00BF77BB"/>
    <w:rsid w:val="00C033E5"/>
    <w:rsid w:val="00C0341A"/>
    <w:rsid w:val="00C07EFB"/>
    <w:rsid w:val="00C12536"/>
    <w:rsid w:val="00C1380B"/>
    <w:rsid w:val="00C16059"/>
    <w:rsid w:val="00C21449"/>
    <w:rsid w:val="00C27D44"/>
    <w:rsid w:val="00C34194"/>
    <w:rsid w:val="00C3541A"/>
    <w:rsid w:val="00C412D4"/>
    <w:rsid w:val="00C439FB"/>
    <w:rsid w:val="00C47F9E"/>
    <w:rsid w:val="00C50E0E"/>
    <w:rsid w:val="00C80E3E"/>
    <w:rsid w:val="00C86F58"/>
    <w:rsid w:val="00C943FF"/>
    <w:rsid w:val="00CA2475"/>
    <w:rsid w:val="00CA37CE"/>
    <w:rsid w:val="00CA4DAC"/>
    <w:rsid w:val="00CC1E6B"/>
    <w:rsid w:val="00CD190B"/>
    <w:rsid w:val="00CD2423"/>
    <w:rsid w:val="00CD65BA"/>
    <w:rsid w:val="00CE29B3"/>
    <w:rsid w:val="00CE4371"/>
    <w:rsid w:val="00CF39D3"/>
    <w:rsid w:val="00D032AB"/>
    <w:rsid w:val="00D107B6"/>
    <w:rsid w:val="00D10992"/>
    <w:rsid w:val="00D154F8"/>
    <w:rsid w:val="00D205FD"/>
    <w:rsid w:val="00D2103E"/>
    <w:rsid w:val="00D35EAC"/>
    <w:rsid w:val="00D4392B"/>
    <w:rsid w:val="00D43A50"/>
    <w:rsid w:val="00D4745A"/>
    <w:rsid w:val="00D53A3A"/>
    <w:rsid w:val="00D5795E"/>
    <w:rsid w:val="00D6074E"/>
    <w:rsid w:val="00D61633"/>
    <w:rsid w:val="00D71A08"/>
    <w:rsid w:val="00D72BC2"/>
    <w:rsid w:val="00D76EEE"/>
    <w:rsid w:val="00D8145F"/>
    <w:rsid w:val="00D81E04"/>
    <w:rsid w:val="00D87B3F"/>
    <w:rsid w:val="00D94024"/>
    <w:rsid w:val="00D94967"/>
    <w:rsid w:val="00DA0B78"/>
    <w:rsid w:val="00DA3CD6"/>
    <w:rsid w:val="00DB5D40"/>
    <w:rsid w:val="00DB6A54"/>
    <w:rsid w:val="00DC5DB2"/>
    <w:rsid w:val="00DC7653"/>
    <w:rsid w:val="00DF6593"/>
    <w:rsid w:val="00DF78DB"/>
    <w:rsid w:val="00E0378F"/>
    <w:rsid w:val="00E06ACB"/>
    <w:rsid w:val="00E12320"/>
    <w:rsid w:val="00E23C27"/>
    <w:rsid w:val="00E24212"/>
    <w:rsid w:val="00E26331"/>
    <w:rsid w:val="00E329DC"/>
    <w:rsid w:val="00E34701"/>
    <w:rsid w:val="00E46155"/>
    <w:rsid w:val="00E524B0"/>
    <w:rsid w:val="00E54622"/>
    <w:rsid w:val="00E5592F"/>
    <w:rsid w:val="00E615D4"/>
    <w:rsid w:val="00E649C6"/>
    <w:rsid w:val="00E65BD1"/>
    <w:rsid w:val="00E66E28"/>
    <w:rsid w:val="00E73BF1"/>
    <w:rsid w:val="00E811E3"/>
    <w:rsid w:val="00E833C4"/>
    <w:rsid w:val="00E83687"/>
    <w:rsid w:val="00E8558E"/>
    <w:rsid w:val="00E939A8"/>
    <w:rsid w:val="00E95595"/>
    <w:rsid w:val="00E96937"/>
    <w:rsid w:val="00EA22F3"/>
    <w:rsid w:val="00EA4835"/>
    <w:rsid w:val="00EB2545"/>
    <w:rsid w:val="00EB2A64"/>
    <w:rsid w:val="00EB3E1A"/>
    <w:rsid w:val="00EB5555"/>
    <w:rsid w:val="00EB5EA1"/>
    <w:rsid w:val="00EB793E"/>
    <w:rsid w:val="00EC2667"/>
    <w:rsid w:val="00EC3DF8"/>
    <w:rsid w:val="00EC4B25"/>
    <w:rsid w:val="00EE33C2"/>
    <w:rsid w:val="00EE3E43"/>
    <w:rsid w:val="00EE752B"/>
    <w:rsid w:val="00F152A0"/>
    <w:rsid w:val="00F1799E"/>
    <w:rsid w:val="00F41D14"/>
    <w:rsid w:val="00F42969"/>
    <w:rsid w:val="00F42D79"/>
    <w:rsid w:val="00F4565B"/>
    <w:rsid w:val="00F45F9E"/>
    <w:rsid w:val="00F54846"/>
    <w:rsid w:val="00F56B51"/>
    <w:rsid w:val="00F602D9"/>
    <w:rsid w:val="00F65F9D"/>
    <w:rsid w:val="00F738B8"/>
    <w:rsid w:val="00F84881"/>
    <w:rsid w:val="00F85337"/>
    <w:rsid w:val="00FA73F3"/>
    <w:rsid w:val="00FB6BEA"/>
    <w:rsid w:val="00FC06F7"/>
    <w:rsid w:val="00FC1B48"/>
    <w:rsid w:val="00FC5400"/>
    <w:rsid w:val="00FD786C"/>
    <w:rsid w:val="00FE2E39"/>
    <w:rsid w:val="00FE4680"/>
    <w:rsid w:val="00FF08E8"/>
    <w:rsid w:val="00FF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2611"/>
  <w15:chartTrackingRefBased/>
  <w15:docId w15:val="{009815DC-5F84-4AED-808A-4802A1DE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12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9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References,Bullets,List Paragraph (numbered (a)),List_Paragraph,Multilevel para_II,Dot pt,No Spacing1,List Paragraph Char Char Char,Indicator Text,Numbered Para 1,Számozott lista 1,List Paragraph 1,List Paragraph1,Numbered Paragraph,Rashi"/>
    <w:basedOn w:val="Normal"/>
    <w:link w:val="ListParagraphChar"/>
    <w:uiPriority w:val="34"/>
    <w:qFormat/>
    <w:rsid w:val="00532926"/>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4846"/>
    <w:rPr>
      <w:color w:val="0563C1" w:themeColor="hyperlink"/>
      <w:u w:val="single"/>
    </w:rPr>
  </w:style>
  <w:style w:type="character" w:styleId="Strong">
    <w:name w:val="Strong"/>
    <w:basedOn w:val="DefaultParagraphFont"/>
    <w:uiPriority w:val="22"/>
    <w:qFormat/>
    <w:rsid w:val="005A1E3D"/>
    <w:rPr>
      <w:b/>
      <w:bCs/>
    </w:rPr>
  </w:style>
  <w:style w:type="paragraph" w:styleId="NoSpacing">
    <w:name w:val="No Spacing"/>
    <w:uiPriority w:val="1"/>
    <w:qFormat/>
    <w:rsid w:val="00B91729"/>
    <w:pPr>
      <w:spacing w:after="0" w:line="240" w:lineRule="auto"/>
    </w:pPr>
    <w:rPr>
      <w:rFonts w:ascii="Calibri" w:eastAsia="Calibri" w:hAnsi="Calibri" w:cs="Times New Roman"/>
      <w:lang w:val="en-US"/>
    </w:rPr>
  </w:style>
  <w:style w:type="table" w:styleId="TableGrid">
    <w:name w:val="Table Grid"/>
    <w:basedOn w:val="TableNormal"/>
    <w:uiPriority w:val="99"/>
    <w:rsid w:val="009A5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2D4"/>
    <w:rPr>
      <w:rFonts w:ascii="Times New Roman" w:eastAsia="Times New Roman" w:hAnsi="Times New Roman" w:cs="Times New Roman"/>
      <w:b/>
      <w:bCs/>
      <w:kern w:val="36"/>
      <w:sz w:val="48"/>
      <w:szCs w:val="48"/>
      <w:lang w:val="en-US"/>
    </w:rPr>
  </w:style>
  <w:style w:type="character" w:customStyle="1" w:styleId="ListParagraphChar">
    <w:name w:val="List Paragraph Char"/>
    <w:aliases w:val="References Char,Bullets Char,List Paragraph (numbered (a)) Char,List_Paragraph Char,Multilevel para_II Char,Dot pt Char,No Spacing1 Char,List Paragraph Char Char Char Char,Indicator Text Char,Numbered Para 1 Char,List Paragraph1 Char"/>
    <w:link w:val="ListParagraph"/>
    <w:uiPriority w:val="34"/>
    <w:qFormat/>
    <w:locked/>
    <w:rsid w:val="009A7F5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070">
      <w:bodyDiv w:val="1"/>
      <w:marLeft w:val="0"/>
      <w:marRight w:val="0"/>
      <w:marTop w:val="0"/>
      <w:marBottom w:val="0"/>
      <w:divBdr>
        <w:top w:val="none" w:sz="0" w:space="0" w:color="auto"/>
        <w:left w:val="none" w:sz="0" w:space="0" w:color="auto"/>
        <w:bottom w:val="none" w:sz="0" w:space="0" w:color="auto"/>
        <w:right w:val="none" w:sz="0" w:space="0" w:color="auto"/>
      </w:divBdr>
    </w:div>
    <w:div w:id="28845810">
      <w:bodyDiv w:val="1"/>
      <w:marLeft w:val="0"/>
      <w:marRight w:val="0"/>
      <w:marTop w:val="0"/>
      <w:marBottom w:val="0"/>
      <w:divBdr>
        <w:top w:val="none" w:sz="0" w:space="0" w:color="auto"/>
        <w:left w:val="none" w:sz="0" w:space="0" w:color="auto"/>
        <w:bottom w:val="none" w:sz="0" w:space="0" w:color="auto"/>
        <w:right w:val="none" w:sz="0" w:space="0" w:color="auto"/>
      </w:divBdr>
    </w:div>
    <w:div w:id="107551565">
      <w:bodyDiv w:val="1"/>
      <w:marLeft w:val="0"/>
      <w:marRight w:val="0"/>
      <w:marTop w:val="0"/>
      <w:marBottom w:val="0"/>
      <w:divBdr>
        <w:top w:val="none" w:sz="0" w:space="0" w:color="auto"/>
        <w:left w:val="none" w:sz="0" w:space="0" w:color="auto"/>
        <w:bottom w:val="none" w:sz="0" w:space="0" w:color="auto"/>
        <w:right w:val="none" w:sz="0" w:space="0" w:color="auto"/>
      </w:divBdr>
      <w:divsChild>
        <w:div w:id="606501247">
          <w:marLeft w:val="446"/>
          <w:marRight w:val="0"/>
          <w:marTop w:val="60"/>
          <w:marBottom w:val="120"/>
          <w:divBdr>
            <w:top w:val="none" w:sz="0" w:space="0" w:color="auto"/>
            <w:left w:val="none" w:sz="0" w:space="0" w:color="auto"/>
            <w:bottom w:val="none" w:sz="0" w:space="0" w:color="auto"/>
            <w:right w:val="none" w:sz="0" w:space="0" w:color="auto"/>
          </w:divBdr>
        </w:div>
        <w:div w:id="128667630">
          <w:marLeft w:val="446"/>
          <w:marRight w:val="0"/>
          <w:marTop w:val="60"/>
          <w:marBottom w:val="120"/>
          <w:divBdr>
            <w:top w:val="none" w:sz="0" w:space="0" w:color="auto"/>
            <w:left w:val="none" w:sz="0" w:space="0" w:color="auto"/>
            <w:bottom w:val="none" w:sz="0" w:space="0" w:color="auto"/>
            <w:right w:val="none" w:sz="0" w:space="0" w:color="auto"/>
          </w:divBdr>
        </w:div>
      </w:divsChild>
    </w:div>
    <w:div w:id="297804838">
      <w:bodyDiv w:val="1"/>
      <w:marLeft w:val="0"/>
      <w:marRight w:val="0"/>
      <w:marTop w:val="0"/>
      <w:marBottom w:val="0"/>
      <w:divBdr>
        <w:top w:val="none" w:sz="0" w:space="0" w:color="auto"/>
        <w:left w:val="none" w:sz="0" w:space="0" w:color="auto"/>
        <w:bottom w:val="none" w:sz="0" w:space="0" w:color="auto"/>
        <w:right w:val="none" w:sz="0" w:space="0" w:color="auto"/>
      </w:divBdr>
    </w:div>
    <w:div w:id="371198833">
      <w:bodyDiv w:val="1"/>
      <w:marLeft w:val="0"/>
      <w:marRight w:val="0"/>
      <w:marTop w:val="0"/>
      <w:marBottom w:val="0"/>
      <w:divBdr>
        <w:top w:val="none" w:sz="0" w:space="0" w:color="auto"/>
        <w:left w:val="none" w:sz="0" w:space="0" w:color="auto"/>
        <w:bottom w:val="none" w:sz="0" w:space="0" w:color="auto"/>
        <w:right w:val="none" w:sz="0" w:space="0" w:color="auto"/>
      </w:divBdr>
    </w:div>
    <w:div w:id="480537288">
      <w:bodyDiv w:val="1"/>
      <w:marLeft w:val="0"/>
      <w:marRight w:val="0"/>
      <w:marTop w:val="0"/>
      <w:marBottom w:val="0"/>
      <w:divBdr>
        <w:top w:val="none" w:sz="0" w:space="0" w:color="auto"/>
        <w:left w:val="none" w:sz="0" w:space="0" w:color="auto"/>
        <w:bottom w:val="none" w:sz="0" w:space="0" w:color="auto"/>
        <w:right w:val="none" w:sz="0" w:space="0" w:color="auto"/>
      </w:divBdr>
    </w:div>
    <w:div w:id="491944579">
      <w:bodyDiv w:val="1"/>
      <w:marLeft w:val="0"/>
      <w:marRight w:val="0"/>
      <w:marTop w:val="0"/>
      <w:marBottom w:val="0"/>
      <w:divBdr>
        <w:top w:val="none" w:sz="0" w:space="0" w:color="auto"/>
        <w:left w:val="none" w:sz="0" w:space="0" w:color="auto"/>
        <w:bottom w:val="none" w:sz="0" w:space="0" w:color="auto"/>
        <w:right w:val="none" w:sz="0" w:space="0" w:color="auto"/>
      </w:divBdr>
    </w:div>
    <w:div w:id="554051675">
      <w:bodyDiv w:val="1"/>
      <w:marLeft w:val="0"/>
      <w:marRight w:val="0"/>
      <w:marTop w:val="0"/>
      <w:marBottom w:val="0"/>
      <w:divBdr>
        <w:top w:val="none" w:sz="0" w:space="0" w:color="auto"/>
        <w:left w:val="none" w:sz="0" w:space="0" w:color="auto"/>
        <w:bottom w:val="none" w:sz="0" w:space="0" w:color="auto"/>
        <w:right w:val="none" w:sz="0" w:space="0" w:color="auto"/>
      </w:divBdr>
    </w:div>
    <w:div w:id="1061245576">
      <w:bodyDiv w:val="1"/>
      <w:marLeft w:val="0"/>
      <w:marRight w:val="0"/>
      <w:marTop w:val="0"/>
      <w:marBottom w:val="0"/>
      <w:divBdr>
        <w:top w:val="none" w:sz="0" w:space="0" w:color="auto"/>
        <w:left w:val="none" w:sz="0" w:space="0" w:color="auto"/>
        <w:bottom w:val="none" w:sz="0" w:space="0" w:color="auto"/>
        <w:right w:val="none" w:sz="0" w:space="0" w:color="auto"/>
      </w:divBdr>
    </w:div>
    <w:div w:id="1062483329">
      <w:bodyDiv w:val="1"/>
      <w:marLeft w:val="0"/>
      <w:marRight w:val="0"/>
      <w:marTop w:val="0"/>
      <w:marBottom w:val="0"/>
      <w:divBdr>
        <w:top w:val="none" w:sz="0" w:space="0" w:color="auto"/>
        <w:left w:val="none" w:sz="0" w:space="0" w:color="auto"/>
        <w:bottom w:val="none" w:sz="0" w:space="0" w:color="auto"/>
        <w:right w:val="none" w:sz="0" w:space="0" w:color="auto"/>
      </w:divBdr>
    </w:div>
    <w:div w:id="1150369098">
      <w:bodyDiv w:val="1"/>
      <w:marLeft w:val="0"/>
      <w:marRight w:val="0"/>
      <w:marTop w:val="0"/>
      <w:marBottom w:val="0"/>
      <w:divBdr>
        <w:top w:val="none" w:sz="0" w:space="0" w:color="auto"/>
        <w:left w:val="none" w:sz="0" w:space="0" w:color="auto"/>
        <w:bottom w:val="none" w:sz="0" w:space="0" w:color="auto"/>
        <w:right w:val="none" w:sz="0" w:space="0" w:color="auto"/>
      </w:divBdr>
    </w:div>
    <w:div w:id="1171408000">
      <w:bodyDiv w:val="1"/>
      <w:marLeft w:val="0"/>
      <w:marRight w:val="0"/>
      <w:marTop w:val="0"/>
      <w:marBottom w:val="0"/>
      <w:divBdr>
        <w:top w:val="none" w:sz="0" w:space="0" w:color="auto"/>
        <w:left w:val="none" w:sz="0" w:space="0" w:color="auto"/>
        <w:bottom w:val="none" w:sz="0" w:space="0" w:color="auto"/>
        <w:right w:val="none" w:sz="0" w:space="0" w:color="auto"/>
      </w:divBdr>
    </w:div>
    <w:div w:id="1177966059">
      <w:bodyDiv w:val="1"/>
      <w:marLeft w:val="0"/>
      <w:marRight w:val="0"/>
      <w:marTop w:val="0"/>
      <w:marBottom w:val="0"/>
      <w:divBdr>
        <w:top w:val="none" w:sz="0" w:space="0" w:color="auto"/>
        <w:left w:val="none" w:sz="0" w:space="0" w:color="auto"/>
        <w:bottom w:val="none" w:sz="0" w:space="0" w:color="auto"/>
        <w:right w:val="none" w:sz="0" w:space="0" w:color="auto"/>
      </w:divBdr>
    </w:div>
    <w:div w:id="1180896614">
      <w:bodyDiv w:val="1"/>
      <w:marLeft w:val="0"/>
      <w:marRight w:val="0"/>
      <w:marTop w:val="0"/>
      <w:marBottom w:val="0"/>
      <w:divBdr>
        <w:top w:val="none" w:sz="0" w:space="0" w:color="auto"/>
        <w:left w:val="none" w:sz="0" w:space="0" w:color="auto"/>
        <w:bottom w:val="none" w:sz="0" w:space="0" w:color="auto"/>
        <w:right w:val="none" w:sz="0" w:space="0" w:color="auto"/>
      </w:divBdr>
    </w:div>
    <w:div w:id="1282876298">
      <w:bodyDiv w:val="1"/>
      <w:marLeft w:val="0"/>
      <w:marRight w:val="0"/>
      <w:marTop w:val="0"/>
      <w:marBottom w:val="0"/>
      <w:divBdr>
        <w:top w:val="none" w:sz="0" w:space="0" w:color="auto"/>
        <w:left w:val="none" w:sz="0" w:space="0" w:color="auto"/>
        <w:bottom w:val="none" w:sz="0" w:space="0" w:color="auto"/>
        <w:right w:val="none" w:sz="0" w:space="0" w:color="auto"/>
      </w:divBdr>
    </w:div>
    <w:div w:id="1426919517">
      <w:bodyDiv w:val="1"/>
      <w:marLeft w:val="0"/>
      <w:marRight w:val="0"/>
      <w:marTop w:val="0"/>
      <w:marBottom w:val="0"/>
      <w:divBdr>
        <w:top w:val="none" w:sz="0" w:space="0" w:color="auto"/>
        <w:left w:val="none" w:sz="0" w:space="0" w:color="auto"/>
        <w:bottom w:val="none" w:sz="0" w:space="0" w:color="auto"/>
        <w:right w:val="none" w:sz="0" w:space="0" w:color="auto"/>
      </w:divBdr>
    </w:div>
    <w:div w:id="1542863625">
      <w:bodyDiv w:val="1"/>
      <w:marLeft w:val="0"/>
      <w:marRight w:val="0"/>
      <w:marTop w:val="0"/>
      <w:marBottom w:val="0"/>
      <w:divBdr>
        <w:top w:val="none" w:sz="0" w:space="0" w:color="auto"/>
        <w:left w:val="none" w:sz="0" w:space="0" w:color="auto"/>
        <w:bottom w:val="none" w:sz="0" w:space="0" w:color="auto"/>
        <w:right w:val="none" w:sz="0" w:space="0" w:color="auto"/>
      </w:divBdr>
    </w:div>
    <w:div w:id="1821996077">
      <w:bodyDiv w:val="1"/>
      <w:marLeft w:val="0"/>
      <w:marRight w:val="0"/>
      <w:marTop w:val="0"/>
      <w:marBottom w:val="0"/>
      <w:divBdr>
        <w:top w:val="none" w:sz="0" w:space="0" w:color="auto"/>
        <w:left w:val="none" w:sz="0" w:space="0" w:color="auto"/>
        <w:bottom w:val="none" w:sz="0" w:space="0" w:color="auto"/>
        <w:right w:val="none" w:sz="0" w:space="0" w:color="auto"/>
      </w:divBdr>
    </w:div>
    <w:div w:id="1822572805">
      <w:bodyDiv w:val="1"/>
      <w:marLeft w:val="0"/>
      <w:marRight w:val="0"/>
      <w:marTop w:val="0"/>
      <w:marBottom w:val="0"/>
      <w:divBdr>
        <w:top w:val="none" w:sz="0" w:space="0" w:color="auto"/>
        <w:left w:val="none" w:sz="0" w:space="0" w:color="auto"/>
        <w:bottom w:val="none" w:sz="0" w:space="0" w:color="auto"/>
        <w:right w:val="none" w:sz="0" w:space="0" w:color="auto"/>
      </w:divBdr>
    </w:div>
    <w:div w:id="1868056907">
      <w:bodyDiv w:val="1"/>
      <w:marLeft w:val="0"/>
      <w:marRight w:val="0"/>
      <w:marTop w:val="0"/>
      <w:marBottom w:val="0"/>
      <w:divBdr>
        <w:top w:val="none" w:sz="0" w:space="0" w:color="auto"/>
        <w:left w:val="none" w:sz="0" w:space="0" w:color="auto"/>
        <w:bottom w:val="none" w:sz="0" w:space="0" w:color="auto"/>
        <w:right w:val="none" w:sz="0" w:space="0" w:color="auto"/>
      </w:divBdr>
    </w:div>
    <w:div w:id="1895726804">
      <w:bodyDiv w:val="1"/>
      <w:marLeft w:val="0"/>
      <w:marRight w:val="0"/>
      <w:marTop w:val="0"/>
      <w:marBottom w:val="0"/>
      <w:divBdr>
        <w:top w:val="none" w:sz="0" w:space="0" w:color="auto"/>
        <w:left w:val="none" w:sz="0" w:space="0" w:color="auto"/>
        <w:bottom w:val="none" w:sz="0" w:space="0" w:color="auto"/>
        <w:right w:val="none" w:sz="0" w:space="0" w:color="auto"/>
      </w:divBdr>
    </w:div>
    <w:div w:id="1961182557">
      <w:bodyDiv w:val="1"/>
      <w:marLeft w:val="0"/>
      <w:marRight w:val="0"/>
      <w:marTop w:val="0"/>
      <w:marBottom w:val="0"/>
      <w:divBdr>
        <w:top w:val="none" w:sz="0" w:space="0" w:color="auto"/>
        <w:left w:val="none" w:sz="0" w:space="0" w:color="auto"/>
        <w:bottom w:val="none" w:sz="0" w:space="0" w:color="auto"/>
        <w:right w:val="none" w:sz="0" w:space="0" w:color="auto"/>
      </w:divBdr>
    </w:div>
    <w:div w:id="20885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iff.gov.az/" TargetMode="External"/><Relationship Id="rId3" Type="http://schemas.openxmlformats.org/officeDocument/2006/relationships/styles" Target="styles.xml"/><Relationship Id="rId7" Type="http://schemas.openxmlformats.org/officeDocument/2006/relationships/hyperlink" Target="https://tariff.gov.az/ckfinder/userfiles/files/Q%C9%99rarlar%20file%202024-davam%C4%B1/DVA-30_06_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riff.gov.a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39A5-0D2D-47A7-8BD6-9D7A2C3D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1849</Words>
  <Characters>10542</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Eliyev Murad oqlu</dc:creator>
  <cp:keywords/>
  <dc:description/>
  <cp:lastModifiedBy>Leyla Zamanova</cp:lastModifiedBy>
  <cp:revision>4</cp:revision>
  <cp:lastPrinted>2024-12-28T07:35:00Z</cp:lastPrinted>
  <dcterms:created xsi:type="dcterms:W3CDTF">2025-01-02T06:51:00Z</dcterms:created>
  <dcterms:modified xsi:type="dcterms:W3CDTF">2025-01-02T07:05:00Z</dcterms:modified>
</cp:coreProperties>
</file>